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003" w:rsidRDefault="004D1003" w:rsidP="004D1003">
      <w:pPr>
        <w:autoSpaceDE w:val="0"/>
        <w:autoSpaceDN w:val="0"/>
        <w:adjustRightInd w:val="0"/>
        <w:ind w:left="1440" w:firstLine="720"/>
        <w:rPr>
          <w:szCs w:val="20"/>
          <w:u w:val="single"/>
        </w:rPr>
      </w:pPr>
      <w:bookmarkStart w:id="0" w:name="_GoBack"/>
      <w:bookmarkEnd w:id="0"/>
      <w:r>
        <w:t>TITLE 35:  ENVIRONMENTAL PROTECTION</w:t>
      </w:r>
    </w:p>
    <w:p w:rsidR="004D1003" w:rsidRDefault="004D1003" w:rsidP="004D1003">
      <w:pPr>
        <w:jc w:val="center"/>
      </w:pPr>
      <w:r>
        <w:t xml:space="preserve">SUBTITLE A: GENERAL PROVISIONS </w:t>
      </w:r>
    </w:p>
    <w:p w:rsidR="004D1003" w:rsidRDefault="004D1003" w:rsidP="004D1003">
      <w:pPr>
        <w:jc w:val="center"/>
      </w:pPr>
      <w:r>
        <w:t>CHAPTER II: ENVIRONMENTAL PROTECTION AGENCY</w:t>
      </w:r>
    </w:p>
    <w:p w:rsidR="004D1003" w:rsidRDefault="004D1003" w:rsidP="004D1003">
      <w:pPr>
        <w:jc w:val="center"/>
      </w:pPr>
    </w:p>
    <w:p w:rsidR="004D1003" w:rsidRDefault="004D1003" w:rsidP="004D1003">
      <w:pPr>
        <w:jc w:val="center"/>
      </w:pPr>
      <w:r>
        <w:t>PART 190</w:t>
      </w:r>
    </w:p>
    <w:p w:rsidR="004D1003" w:rsidRDefault="004D1003" w:rsidP="004D1003">
      <w:pPr>
        <w:jc w:val="center"/>
      </w:pPr>
      <w:r>
        <w:t>COLLECTION OF OUT-OF-SERVICE MERCURY THERMOSTATS</w:t>
      </w:r>
    </w:p>
    <w:p w:rsidR="004D1003" w:rsidRDefault="004D1003" w:rsidP="004D1003">
      <w:pPr>
        <w:keepNext/>
        <w:keepLines/>
        <w:rPr>
          <w:b/>
          <w:bCs/>
        </w:rPr>
      </w:pPr>
    </w:p>
    <w:p w:rsidR="004D1003" w:rsidRDefault="004D1003" w:rsidP="004D1003">
      <w:pPr>
        <w:keepNext/>
        <w:keepLines/>
        <w:autoSpaceDE w:val="0"/>
        <w:autoSpaceDN w:val="0"/>
        <w:adjustRightInd w:val="0"/>
      </w:pPr>
      <w:r>
        <w:t>Section</w:t>
      </w:r>
    </w:p>
    <w:p w:rsidR="004D1003" w:rsidRDefault="004D1003" w:rsidP="004D1003">
      <w:pPr>
        <w:ind w:left="1440" w:hanging="1440"/>
      </w:pPr>
      <w:r>
        <w:t>190.100</w:t>
      </w:r>
      <w:r>
        <w:tab/>
        <w:t>Purpose</w:t>
      </w:r>
    </w:p>
    <w:p w:rsidR="004D1003" w:rsidRDefault="004D1003" w:rsidP="004D1003">
      <w:pPr>
        <w:ind w:left="1440" w:hanging="1440"/>
      </w:pPr>
      <w:r>
        <w:t>190.110</w:t>
      </w:r>
      <w:r>
        <w:tab/>
        <w:t>Applicability</w:t>
      </w:r>
    </w:p>
    <w:p w:rsidR="004D1003" w:rsidRDefault="004D1003" w:rsidP="004D1003">
      <w:pPr>
        <w:ind w:left="1440" w:hanging="1440"/>
      </w:pPr>
      <w:r>
        <w:t>190.120</w:t>
      </w:r>
      <w:r>
        <w:tab/>
        <w:t>Definitions</w:t>
      </w:r>
    </w:p>
    <w:p w:rsidR="004D1003" w:rsidRDefault="004D1003" w:rsidP="004D1003">
      <w:pPr>
        <w:ind w:left="1440" w:hanging="1440"/>
        <w:rPr>
          <w:rFonts w:eastAsia="Calibri"/>
          <w:color w:val="000000"/>
          <w:u w:val="single"/>
        </w:rPr>
      </w:pPr>
      <w:r>
        <w:rPr>
          <w:rFonts w:eastAsia="Calibri"/>
          <w:color w:val="000000"/>
        </w:rPr>
        <w:t>190.130</w:t>
      </w:r>
      <w:r>
        <w:rPr>
          <w:rFonts w:eastAsia="Calibri"/>
          <w:color w:val="000000"/>
        </w:rPr>
        <w:tab/>
        <w:t>Annual Collection Goals</w:t>
      </w:r>
    </w:p>
    <w:p w:rsidR="004D1003" w:rsidRPr="004D1003" w:rsidRDefault="004D1003" w:rsidP="004D1003">
      <w:pPr>
        <w:ind w:left="1440" w:hanging="1440"/>
        <w:rPr>
          <w:rFonts w:eastAsia="Calibri"/>
          <w:color w:val="000000"/>
        </w:rPr>
      </w:pPr>
      <w:r w:rsidRPr="004D1003">
        <w:rPr>
          <w:rFonts w:eastAsia="Calibri"/>
          <w:color w:val="000000"/>
        </w:rPr>
        <w:t>190.135</w:t>
      </w:r>
      <w:r w:rsidRPr="004D1003">
        <w:rPr>
          <w:rFonts w:eastAsia="Calibri"/>
          <w:color w:val="000000"/>
        </w:rPr>
        <w:tab/>
        <w:t>Narrative Collection Program Goals</w:t>
      </w:r>
    </w:p>
    <w:p w:rsidR="004D1003" w:rsidRDefault="004D1003" w:rsidP="004D1003">
      <w:pPr>
        <w:ind w:left="1440" w:hanging="1440"/>
      </w:pPr>
      <w:r>
        <w:t>190.140</w:t>
      </w:r>
      <w:r>
        <w:tab/>
        <w:t>Severability</w:t>
      </w:r>
    </w:p>
    <w:p w:rsidR="004D1003" w:rsidRDefault="004D1003" w:rsidP="004D1003"/>
    <w:p w:rsidR="004D1003" w:rsidRDefault="004D1003" w:rsidP="004D1003">
      <w:pPr>
        <w:autoSpaceDE w:val="0"/>
        <w:autoSpaceDN w:val="0"/>
        <w:adjustRightInd w:val="0"/>
        <w:rPr>
          <w:color w:val="000000"/>
        </w:rPr>
      </w:pPr>
      <w:r>
        <w:rPr>
          <w:color w:val="000000"/>
        </w:rPr>
        <w:t>AUTHORITY:  Implementing and authorized by Section 25(c) of the Mercury Thermostat Collection Act [415 ILCS 98/25(c)].</w:t>
      </w:r>
    </w:p>
    <w:p w:rsidR="004D1003" w:rsidRDefault="004D1003" w:rsidP="004D1003"/>
    <w:p w:rsidR="004D1003" w:rsidRDefault="004D1003" w:rsidP="004D1003">
      <w:r>
        <w:t>SOURCE:  Old Part repealed at 22 Ill. Reg. 14327, effective July 15, 1998; new Part adopted at 38 Ill. Reg. 22635, effective November 20, 201</w:t>
      </w:r>
      <w:r w:rsidR="001A251D">
        <w:t>4; amended at 42 Ill. Reg. 24897, effective December 11, 2018</w:t>
      </w:r>
      <w:r>
        <w:t>.</w:t>
      </w:r>
    </w:p>
    <w:p w:rsidR="00C536D3" w:rsidRDefault="00C536D3" w:rsidP="004D1003"/>
    <w:p w:rsidR="00C536D3" w:rsidRDefault="00C536D3" w:rsidP="004D1003"/>
    <w:p w:rsidR="00B617FF" w:rsidRDefault="00B617FF">
      <w:pPr>
        <w:sectPr w:rsidR="00B617FF" w:rsidSect="006D4D72">
          <w:headerReference w:type="default" r:id="rId6"/>
          <w:pgSz w:w="12240" w:h="15840" w:code="1"/>
          <w:pgMar w:top="1440" w:right="1440" w:bottom="1440" w:left="1440" w:header="1440" w:footer="1440" w:gutter="0"/>
          <w:cols w:space="720"/>
          <w:noEndnote/>
          <w:docGrid w:linePitch="326"/>
        </w:sectPr>
      </w:pPr>
    </w:p>
    <w:p w:rsidR="00B617FF" w:rsidRPr="00010C7F" w:rsidRDefault="00A177AF" w:rsidP="00B617FF">
      <w:pPr>
        <w:rPr>
          <w:b/>
        </w:rPr>
      </w:pPr>
      <w:r>
        <w:rPr>
          <w:b/>
        </w:rPr>
        <w:lastRenderedPageBreak/>
        <w:t xml:space="preserve">Section 190.100  </w:t>
      </w:r>
      <w:r w:rsidR="00B617FF" w:rsidRPr="00010C7F">
        <w:rPr>
          <w:b/>
        </w:rPr>
        <w:t>Purpose</w:t>
      </w:r>
    </w:p>
    <w:p w:rsidR="00B617FF" w:rsidRPr="00010C7F" w:rsidRDefault="00B617FF" w:rsidP="00B617FF"/>
    <w:p w:rsidR="00B617FF" w:rsidRPr="00010C7F" w:rsidRDefault="00B617FF" w:rsidP="00B617FF">
      <w:pPr>
        <w:tabs>
          <w:tab w:val="left" w:pos="720"/>
        </w:tabs>
      </w:pPr>
      <w:r w:rsidRPr="00010C7F">
        <w:t>The purpose of this Part is to set forth the annual collection goals for calendar years 2015 through 2020 for out-of-service mercury thermostats collected in accordance with collection programs established by thermostat manufacturers under the Merc</w:t>
      </w:r>
      <w:r>
        <w:t>ury Thermostat Collection Act.</w:t>
      </w:r>
    </w:p>
    <w:p w:rsidR="00B617FF" w:rsidRDefault="00B617FF"/>
    <w:p w:rsidR="00B617FF" w:rsidRDefault="00B617FF">
      <w:pPr>
        <w:sectPr w:rsidR="00B617FF" w:rsidSect="006D4D72">
          <w:headerReference w:type="default" r:id="rId7"/>
          <w:pgSz w:w="12240" w:h="15840" w:code="1"/>
          <w:pgMar w:top="1440" w:right="1440" w:bottom="1440" w:left="1440" w:header="1440" w:footer="1440" w:gutter="0"/>
          <w:cols w:space="720"/>
          <w:noEndnote/>
          <w:docGrid w:linePitch="326"/>
        </w:sectPr>
      </w:pPr>
    </w:p>
    <w:p w:rsidR="00B617FF" w:rsidRPr="00010C7F" w:rsidRDefault="00A177AF" w:rsidP="00B617FF">
      <w:pPr>
        <w:rPr>
          <w:b/>
        </w:rPr>
      </w:pPr>
      <w:r>
        <w:rPr>
          <w:b/>
        </w:rPr>
        <w:lastRenderedPageBreak/>
        <w:t xml:space="preserve">Section 190.110  </w:t>
      </w:r>
      <w:r w:rsidR="00B617FF" w:rsidRPr="00010C7F">
        <w:rPr>
          <w:b/>
        </w:rPr>
        <w:t>Applicability</w:t>
      </w:r>
    </w:p>
    <w:p w:rsidR="00B617FF" w:rsidRPr="00010C7F" w:rsidRDefault="00B617FF" w:rsidP="00B617FF"/>
    <w:p w:rsidR="00B617FF" w:rsidRDefault="00B617FF" w:rsidP="00B617FF">
      <w:pPr>
        <w:tabs>
          <w:tab w:val="left" w:pos="720"/>
        </w:tabs>
      </w:pPr>
      <w:r w:rsidRPr="00010C7F">
        <w:t>This Part applies to thermostat manufacturers required to operate programs for the collection, transportation and proper management of out-of-service mercury thermostats purs</w:t>
      </w:r>
      <w:r>
        <w:t>uant to Section 15 of the Act.</w:t>
      </w:r>
    </w:p>
    <w:p w:rsidR="00C536D3" w:rsidRDefault="00C536D3" w:rsidP="00B617FF"/>
    <w:p w:rsidR="000D626E" w:rsidRDefault="000D626E" w:rsidP="007232AE">
      <w:pPr>
        <w:sectPr w:rsidR="000D626E" w:rsidSect="006D4D72">
          <w:headerReference w:type="default" r:id="rId8"/>
          <w:pgSz w:w="12240" w:h="15840" w:code="1"/>
          <w:pgMar w:top="1440" w:right="1440" w:bottom="1440" w:left="1440" w:header="1440" w:footer="1440" w:gutter="0"/>
          <w:cols w:space="720"/>
          <w:noEndnote/>
          <w:docGrid w:linePitch="326"/>
        </w:sectPr>
      </w:pPr>
    </w:p>
    <w:p w:rsidR="004D1003" w:rsidRDefault="004D1003" w:rsidP="004D1003">
      <w:pPr>
        <w:rPr>
          <w:b/>
        </w:rPr>
      </w:pPr>
      <w:r>
        <w:rPr>
          <w:b/>
        </w:rPr>
        <w:lastRenderedPageBreak/>
        <w:t>Section 190.120  Definitions</w:t>
      </w:r>
    </w:p>
    <w:p w:rsidR="004D1003" w:rsidRDefault="004D1003" w:rsidP="004D1003"/>
    <w:p w:rsidR="004D1003" w:rsidRPr="004D1003" w:rsidRDefault="004D1003" w:rsidP="004D1003">
      <w:r w:rsidRPr="004D1003">
        <w:t>Except as stated in this Section, or unless a different meaning of a word or term is clear from the context, the definitions of words or terms in this Part will be the same as those applied to the same words or terms in the Mercury Thermostat Collection Act.</w:t>
      </w:r>
    </w:p>
    <w:p w:rsidR="004D1003" w:rsidRPr="004D1003" w:rsidRDefault="004D1003" w:rsidP="004D1003"/>
    <w:p w:rsidR="004D1003" w:rsidRPr="004D1003" w:rsidRDefault="004D1003" w:rsidP="004D1003">
      <w:pPr>
        <w:ind w:left="720"/>
      </w:pPr>
      <w:r w:rsidRPr="004D1003">
        <w:t>"Act" means the Mercury Thermostat Collection Act [415 ILCS 98].</w:t>
      </w:r>
    </w:p>
    <w:p w:rsidR="004D1003" w:rsidRPr="004D1003" w:rsidRDefault="004D1003" w:rsidP="004D1003">
      <w:pPr>
        <w:ind w:left="720" w:hanging="720"/>
      </w:pPr>
    </w:p>
    <w:p w:rsidR="004D1003" w:rsidRPr="004D1003" w:rsidRDefault="004D1003" w:rsidP="004D1003">
      <w:pPr>
        <w:ind w:left="720"/>
      </w:pPr>
      <w:r w:rsidRPr="004D1003">
        <w:t>"Agency" means</w:t>
      </w:r>
      <w:r w:rsidRPr="004D1003">
        <w:rPr>
          <w:i/>
        </w:rPr>
        <w:t xml:space="preserve"> the Illinois Environmental Protection Agency. </w:t>
      </w:r>
      <w:r w:rsidRPr="004D1003">
        <w:t>[415 ILCS 98/10]</w:t>
      </w:r>
    </w:p>
    <w:p w:rsidR="004D1003" w:rsidRPr="004D1003" w:rsidRDefault="004D1003" w:rsidP="004D1003">
      <w:pPr>
        <w:ind w:left="720" w:hanging="720"/>
      </w:pPr>
    </w:p>
    <w:p w:rsidR="004D1003" w:rsidRPr="004D1003" w:rsidRDefault="004D1003" w:rsidP="004D1003">
      <w:pPr>
        <w:ind w:left="720"/>
      </w:pPr>
      <w:r w:rsidRPr="004D1003">
        <w:t>"Collection location" means a permanent or temporary physical location at which mercury thermostats are collected for transportation, recycling, and disposal as part of a collection program.</w:t>
      </w:r>
    </w:p>
    <w:p w:rsidR="004D1003" w:rsidRPr="004D1003" w:rsidRDefault="004D1003" w:rsidP="004D1003">
      <w:pPr>
        <w:ind w:left="720"/>
      </w:pPr>
    </w:p>
    <w:p w:rsidR="004D1003" w:rsidRPr="004D1003" w:rsidRDefault="004D1003" w:rsidP="004D1003">
      <w:pPr>
        <w:ind w:left="720"/>
      </w:pPr>
      <w:r w:rsidRPr="004D1003">
        <w:t>"Collection program" means</w:t>
      </w:r>
      <w:r w:rsidRPr="004D1003">
        <w:rPr>
          <w:i/>
        </w:rPr>
        <w:t xml:space="preserve"> a system for collection, transportation, recycling, and disposal of out-of-service mercury thermostats that is financed and managed or provided by a thermostat manufacturer individually or collectively with other thermostat manufacturers in accordance with the Act.</w:t>
      </w:r>
      <w:r w:rsidRPr="004D1003">
        <w:t xml:space="preserve">  [415 ILCS 98/10]</w:t>
      </w:r>
    </w:p>
    <w:p w:rsidR="004D1003" w:rsidRPr="004D1003" w:rsidRDefault="004D1003" w:rsidP="004D1003">
      <w:pPr>
        <w:rPr>
          <w:i/>
        </w:rPr>
      </w:pPr>
    </w:p>
    <w:p w:rsidR="004D1003" w:rsidRPr="004D1003" w:rsidRDefault="004D1003" w:rsidP="004D1003">
      <w:pPr>
        <w:ind w:left="720"/>
      </w:pPr>
      <w:r w:rsidRPr="004D1003">
        <w:t xml:space="preserve">"Contractor" means </w:t>
      </w:r>
      <w:r w:rsidRPr="004D1003">
        <w:rPr>
          <w:i/>
        </w:rPr>
        <w:t xml:space="preserve">a person engaged in the business of installation, service, or removal of heating, ventilation, and air-conditioning components.  </w:t>
      </w:r>
      <w:r w:rsidRPr="004D1003">
        <w:t>[415 ILCS 98/10]</w:t>
      </w:r>
    </w:p>
    <w:p w:rsidR="004D1003" w:rsidRPr="004D1003" w:rsidRDefault="004D1003" w:rsidP="004D1003">
      <w:pPr>
        <w:ind w:left="720"/>
      </w:pPr>
    </w:p>
    <w:p w:rsidR="004D1003" w:rsidRPr="004D1003" w:rsidRDefault="004D1003" w:rsidP="004D1003">
      <w:pPr>
        <w:ind w:left="720"/>
      </w:pPr>
      <w:r w:rsidRPr="004D1003">
        <w:t>"Mercury thermostat" means</w:t>
      </w:r>
      <w:r w:rsidRPr="004D1003">
        <w:rPr>
          <w:i/>
        </w:rPr>
        <w:t xml:space="preserve"> a product or device that uses a mercury switch to sense and control room temperature through communication with heating, ventilating, or air conditioning equipment, including those products or devices used to sense and control room temperature in residential, commercial, industrial, and other buildings.  “Mercury thermostat” does not mean thermostats used to sense and control temperature as part of a manufacturing or industrial process.</w:t>
      </w:r>
      <w:r w:rsidRPr="004D1003">
        <w:t xml:space="preserve">  [415 ILCS 5/22.23b(f)]</w:t>
      </w:r>
    </w:p>
    <w:p w:rsidR="004D1003" w:rsidRPr="004D1003" w:rsidRDefault="004D1003" w:rsidP="004D1003"/>
    <w:p w:rsidR="004D1003" w:rsidRPr="004D1003" w:rsidRDefault="004D1003" w:rsidP="004D1003">
      <w:pPr>
        <w:ind w:left="720"/>
      </w:pPr>
      <w:r w:rsidRPr="004D1003">
        <w:t>"Out-of-service mercury thermostat" means</w:t>
      </w:r>
      <w:r w:rsidRPr="004D1003">
        <w:rPr>
          <w:i/>
        </w:rPr>
        <w:t xml:space="preserve"> a mercury thermostat that is removed, replaced, or otherwise taken out of service.</w:t>
      </w:r>
      <w:r w:rsidRPr="004D1003">
        <w:t xml:space="preserve">  [415 ILCS 98/10]</w:t>
      </w:r>
    </w:p>
    <w:p w:rsidR="004D1003" w:rsidRPr="004D1003" w:rsidRDefault="004D1003" w:rsidP="004D1003"/>
    <w:p w:rsidR="004D1003" w:rsidRPr="004D1003" w:rsidRDefault="004D1003" w:rsidP="004D1003">
      <w:pPr>
        <w:ind w:left="720"/>
      </w:pPr>
      <w:r w:rsidRPr="004D1003">
        <w:t>"Person" means</w:t>
      </w:r>
      <w:r w:rsidRPr="004D1003">
        <w:rPr>
          <w:i/>
        </w:rPr>
        <w:t xml:space="preserve"> any individual, partnership, co-partnership, firm, company, limited liability company, corporation, association, joint stock company, trust, estate, political subdivision, State agency, or any other legal entity or its legal representatives, agents, or assigns.</w:t>
      </w:r>
      <w:r w:rsidRPr="004D1003">
        <w:t xml:space="preserve"> [415 ILCS 98/10]</w:t>
      </w:r>
    </w:p>
    <w:p w:rsidR="004D1003" w:rsidRPr="004D1003" w:rsidRDefault="004D1003" w:rsidP="004D1003">
      <w:pPr>
        <w:ind w:left="720"/>
      </w:pPr>
    </w:p>
    <w:p w:rsidR="004D1003" w:rsidRPr="004D1003" w:rsidRDefault="004D1003" w:rsidP="004D1003">
      <w:pPr>
        <w:ind w:left="720"/>
      </w:pPr>
      <w:r w:rsidRPr="004D1003">
        <w:t>"Thermostat manufacturer" means</w:t>
      </w:r>
      <w:r w:rsidRPr="004D1003">
        <w:rPr>
          <w:i/>
        </w:rPr>
        <w:t xml:space="preserve"> a person who owns or owned a name brand of one or more mercury thermostats sold in Illinois.</w:t>
      </w:r>
      <w:r w:rsidRPr="004D1003">
        <w:t xml:space="preserve">  [415 ILCS 98/10]</w:t>
      </w:r>
    </w:p>
    <w:p w:rsidR="004D1003" w:rsidRPr="004D1003" w:rsidRDefault="004D1003" w:rsidP="004D1003">
      <w:pPr>
        <w:ind w:left="720"/>
      </w:pPr>
    </w:p>
    <w:p w:rsidR="004D1003" w:rsidRPr="004D1003" w:rsidRDefault="004D1003" w:rsidP="004D1003">
      <w:pPr>
        <w:ind w:left="720"/>
      </w:pPr>
      <w:r w:rsidRPr="004D1003">
        <w:t xml:space="preserve">"Thermostat retailer" means </w:t>
      </w:r>
      <w:r w:rsidRPr="004D1003">
        <w:rPr>
          <w:i/>
        </w:rPr>
        <w:t xml:space="preserve">a person who sells </w:t>
      </w:r>
      <w:r w:rsidRPr="004D1003">
        <w:t>in Illinois</w:t>
      </w:r>
      <w:r w:rsidRPr="004D1003">
        <w:rPr>
          <w:i/>
        </w:rPr>
        <w:t xml:space="preserve"> thermostats of any kind primarily to homeowners or other nonprofessionals through any sale or distribution </w:t>
      </w:r>
      <w:r w:rsidRPr="004D1003">
        <w:rPr>
          <w:i/>
        </w:rPr>
        <w:lastRenderedPageBreak/>
        <w:t>mechanism.  A thermostat retailer that meets the definition of thermostat wholesaler</w:t>
      </w:r>
      <w:r w:rsidRPr="004D1003">
        <w:t xml:space="preserve"> will</w:t>
      </w:r>
      <w:r w:rsidRPr="004D1003">
        <w:rPr>
          <w:i/>
        </w:rPr>
        <w:t xml:space="preserve"> be considered a thermostat wholesaler.</w:t>
      </w:r>
      <w:r w:rsidRPr="004D1003">
        <w:t xml:space="preserve">  [415 ILCS 98/10]</w:t>
      </w:r>
    </w:p>
    <w:p w:rsidR="004D1003" w:rsidRPr="004D1003" w:rsidRDefault="004D1003" w:rsidP="004D1003">
      <w:pPr>
        <w:ind w:left="720"/>
      </w:pPr>
    </w:p>
    <w:p w:rsidR="004D1003" w:rsidRPr="004D1003" w:rsidRDefault="004D1003" w:rsidP="004D1003">
      <w:pPr>
        <w:ind w:left="720"/>
      </w:pPr>
      <w:r w:rsidRPr="004D1003">
        <w:t xml:space="preserve">"Thermostat wholesaler" means </w:t>
      </w:r>
      <w:r w:rsidRPr="004D1003">
        <w:rPr>
          <w:i/>
        </w:rPr>
        <w:t>a person who is engaged in the distribution and wholesale selling of heating, ventilation, and air-conditioning components, including, but not limited to, thermostats, to contractors, and whose total wholesale sales account for 80% or more of its total sales.  A thermostat manufacturer, as defined in this Section, is not a thermostat wholesaler.</w:t>
      </w:r>
      <w:r w:rsidRPr="004D1003">
        <w:t xml:space="preserve">  [415 ILCS 98/10]</w:t>
      </w:r>
    </w:p>
    <w:p w:rsidR="004D1003" w:rsidRDefault="004D1003" w:rsidP="004D1003">
      <w:pPr>
        <w:autoSpaceDE w:val="0"/>
        <w:autoSpaceDN w:val="0"/>
        <w:adjustRightInd w:val="0"/>
        <w:rPr>
          <w:rFonts w:eastAsia="Calibri"/>
          <w:bCs/>
          <w:color w:val="000000"/>
        </w:rPr>
      </w:pPr>
    </w:p>
    <w:p w:rsidR="004D1003" w:rsidRDefault="004D1003" w:rsidP="004D1003">
      <w:pPr>
        <w:ind w:firstLine="720"/>
      </w:pPr>
      <w:r>
        <w:t>(Source</w:t>
      </w:r>
      <w:r w:rsidR="001A251D">
        <w:t>:  Amended at 42 Ill. Reg. 24897</w:t>
      </w:r>
      <w:r>
        <w:t xml:space="preserve">, effective </w:t>
      </w:r>
      <w:r w:rsidR="001A251D">
        <w:t>December 11, 2018</w:t>
      </w:r>
      <w:r>
        <w:t>.)</w:t>
      </w:r>
    </w:p>
    <w:p w:rsidR="007F1A99" w:rsidRDefault="007F1A99" w:rsidP="007F1A99"/>
    <w:p w:rsidR="009C6750" w:rsidRDefault="009C6750">
      <w:pPr>
        <w:sectPr w:rsidR="009C6750" w:rsidSect="006D4D72">
          <w:headerReference w:type="default" r:id="rId9"/>
          <w:pgSz w:w="12240" w:h="15840" w:code="1"/>
          <w:pgMar w:top="1440" w:right="1440" w:bottom="1440" w:left="1440" w:header="1440" w:footer="1440" w:gutter="0"/>
          <w:cols w:space="720"/>
          <w:noEndnote/>
          <w:docGrid w:linePitch="326"/>
        </w:sectPr>
      </w:pPr>
    </w:p>
    <w:p w:rsidR="004D1003" w:rsidRDefault="004D1003" w:rsidP="004D1003">
      <w:pPr>
        <w:ind w:left="2160" w:hanging="2160"/>
        <w:rPr>
          <w:rFonts w:eastAsia="Calibri"/>
          <w:b/>
          <w:color w:val="000000"/>
          <w:u w:val="single"/>
        </w:rPr>
      </w:pPr>
      <w:r>
        <w:rPr>
          <w:rFonts w:eastAsia="Calibri"/>
          <w:b/>
          <w:color w:val="000000"/>
        </w:rPr>
        <w:lastRenderedPageBreak/>
        <w:t xml:space="preserve">Section 190.130  Annual Collection Goals </w:t>
      </w:r>
    </w:p>
    <w:p w:rsidR="004D1003" w:rsidRDefault="004D1003" w:rsidP="004D1003">
      <w:pPr>
        <w:ind w:left="2160" w:hanging="2160"/>
        <w:rPr>
          <w:rFonts w:eastAsia="Calibri"/>
          <w:color w:val="000000"/>
        </w:rPr>
      </w:pPr>
    </w:p>
    <w:p w:rsidR="004D1003" w:rsidRPr="001D74D7" w:rsidRDefault="004D1003" w:rsidP="004D1003">
      <w:pPr>
        <w:ind w:left="1440" w:hanging="720"/>
        <w:rPr>
          <w:rFonts w:eastAsia="Calibri"/>
          <w:color w:val="000000"/>
        </w:rPr>
      </w:pPr>
      <w:r w:rsidRPr="001D74D7">
        <w:rPr>
          <w:rFonts w:eastAsia="Calibri"/>
          <w:color w:val="000000"/>
        </w:rPr>
        <w:t>a)</w:t>
      </w:r>
      <w:r w:rsidRPr="001D74D7">
        <w:rPr>
          <w:rFonts w:eastAsia="Calibri"/>
          <w:color w:val="000000"/>
        </w:rPr>
        <w:tab/>
        <w:t>Collection programs required under the Act must be designed to collectively achieve the following annual statewide collection goals:</w:t>
      </w:r>
    </w:p>
    <w:p w:rsidR="004D1003" w:rsidRPr="001D74D7" w:rsidRDefault="004D1003" w:rsidP="004D1003">
      <w:pPr>
        <w:ind w:left="1440" w:hanging="720"/>
        <w:rPr>
          <w:rFonts w:eastAsia="Calibri"/>
          <w:color w:val="000000"/>
        </w:rPr>
      </w:pPr>
    </w:p>
    <w:p w:rsidR="004D1003" w:rsidRPr="001D74D7" w:rsidRDefault="004D1003" w:rsidP="004D1003">
      <w:pPr>
        <w:ind w:left="2160" w:hanging="720"/>
        <w:rPr>
          <w:rFonts w:eastAsia="Calibri"/>
          <w:color w:val="000000"/>
        </w:rPr>
      </w:pPr>
      <w:r w:rsidRPr="001D74D7">
        <w:rPr>
          <w:rFonts w:eastAsia="Calibri"/>
          <w:color w:val="000000"/>
        </w:rPr>
        <w:t>1)</w:t>
      </w:r>
      <w:r w:rsidRPr="001D74D7">
        <w:rPr>
          <w:rFonts w:eastAsia="Calibri"/>
          <w:color w:val="000000"/>
        </w:rPr>
        <w:tab/>
        <w:t>Compliance with the Collection Program Goals set forth in Section 190.135; and</w:t>
      </w:r>
    </w:p>
    <w:p w:rsidR="004D1003" w:rsidRPr="001D74D7" w:rsidRDefault="004D1003" w:rsidP="004D1003">
      <w:pPr>
        <w:ind w:left="1440" w:hanging="720"/>
        <w:rPr>
          <w:rFonts w:eastAsia="Calibri"/>
          <w:color w:val="000000"/>
        </w:rPr>
      </w:pPr>
    </w:p>
    <w:p w:rsidR="004D1003" w:rsidRPr="001D74D7" w:rsidRDefault="004D1003" w:rsidP="004D1003">
      <w:pPr>
        <w:ind w:left="1440" w:hanging="720"/>
        <w:rPr>
          <w:rFonts w:eastAsia="Calibri"/>
          <w:color w:val="000000"/>
        </w:rPr>
      </w:pPr>
      <w:r w:rsidRPr="001D74D7">
        <w:rPr>
          <w:rFonts w:eastAsia="Calibri"/>
          <w:color w:val="000000"/>
        </w:rPr>
        <w:tab/>
        <w:t>2)</w:t>
      </w:r>
      <w:r w:rsidRPr="001D74D7">
        <w:rPr>
          <w:rFonts w:eastAsia="Calibri"/>
          <w:color w:val="000000"/>
        </w:rPr>
        <w:tab/>
        <w:t xml:space="preserve">The collection of no fewer than the number of out-of-service mercury </w:t>
      </w:r>
      <w:r w:rsidRPr="001D74D7">
        <w:rPr>
          <w:rFonts w:eastAsia="Calibri"/>
          <w:color w:val="000000"/>
        </w:rPr>
        <w:tab/>
        <w:t>thermostats, as follows:</w:t>
      </w:r>
    </w:p>
    <w:p w:rsidR="004D1003" w:rsidRPr="001D74D7" w:rsidRDefault="004D1003" w:rsidP="004D1003">
      <w:pPr>
        <w:rPr>
          <w:rFonts w:eastAsia="Calibri"/>
          <w:color w:val="000000"/>
        </w:rPr>
      </w:pPr>
    </w:p>
    <w:tbl>
      <w:tblPr>
        <w:tblW w:w="0" w:type="auto"/>
        <w:tblInd w:w="1590" w:type="dxa"/>
        <w:tblLook w:val="04A0" w:firstRow="1" w:lastRow="0" w:firstColumn="1" w:lastColumn="0" w:noHBand="0" w:noVBand="1"/>
      </w:tblPr>
      <w:tblGrid>
        <w:gridCol w:w="2448"/>
        <w:gridCol w:w="3792"/>
      </w:tblGrid>
      <w:tr w:rsidR="004D1003" w:rsidRPr="001D74D7" w:rsidTr="00A074EA">
        <w:tc>
          <w:tcPr>
            <w:tcW w:w="2448" w:type="dxa"/>
            <w:hideMark/>
          </w:tcPr>
          <w:p w:rsidR="004D1003" w:rsidRPr="001D74D7" w:rsidRDefault="004D1003" w:rsidP="00A074EA">
            <w:pPr>
              <w:jc w:val="center"/>
              <w:rPr>
                <w:rFonts w:eastAsia="Calibri"/>
                <w:b/>
                <w:color w:val="000000"/>
              </w:rPr>
            </w:pPr>
            <w:r w:rsidRPr="001D74D7">
              <w:rPr>
                <w:rFonts w:eastAsia="Calibri"/>
                <w:b/>
                <w:color w:val="000000"/>
              </w:rPr>
              <w:t>Calendar Year</w:t>
            </w:r>
          </w:p>
        </w:tc>
        <w:tc>
          <w:tcPr>
            <w:tcW w:w="3792" w:type="dxa"/>
            <w:hideMark/>
          </w:tcPr>
          <w:p w:rsidR="004D1003" w:rsidRPr="001D74D7" w:rsidRDefault="004D1003" w:rsidP="00A074EA">
            <w:pPr>
              <w:jc w:val="center"/>
              <w:rPr>
                <w:rFonts w:eastAsia="Calibri"/>
                <w:b/>
                <w:color w:val="000000"/>
              </w:rPr>
            </w:pPr>
            <w:r w:rsidRPr="001D74D7">
              <w:rPr>
                <w:rFonts w:eastAsia="Calibri"/>
                <w:b/>
                <w:color w:val="000000"/>
              </w:rPr>
              <w:t>Mercury Thermostats Taken Out of Service</w:t>
            </w:r>
          </w:p>
        </w:tc>
      </w:tr>
      <w:tr w:rsidR="004D1003" w:rsidRPr="001D74D7" w:rsidTr="00A074EA">
        <w:tc>
          <w:tcPr>
            <w:tcW w:w="2448" w:type="dxa"/>
            <w:hideMark/>
          </w:tcPr>
          <w:p w:rsidR="004D1003" w:rsidRPr="001D74D7" w:rsidRDefault="004D1003" w:rsidP="00A074EA">
            <w:pPr>
              <w:jc w:val="center"/>
              <w:rPr>
                <w:rFonts w:eastAsia="Calibri"/>
                <w:color w:val="000000"/>
              </w:rPr>
            </w:pPr>
            <w:r w:rsidRPr="001D74D7">
              <w:rPr>
                <w:rFonts w:eastAsia="Calibri"/>
                <w:color w:val="000000"/>
              </w:rPr>
              <w:t>2015</w:t>
            </w:r>
          </w:p>
        </w:tc>
        <w:tc>
          <w:tcPr>
            <w:tcW w:w="3792" w:type="dxa"/>
            <w:hideMark/>
          </w:tcPr>
          <w:p w:rsidR="004D1003" w:rsidRPr="001D74D7" w:rsidRDefault="004D1003" w:rsidP="00A074EA">
            <w:pPr>
              <w:jc w:val="center"/>
              <w:rPr>
                <w:rFonts w:eastAsia="Calibri"/>
                <w:color w:val="000000"/>
              </w:rPr>
            </w:pPr>
            <w:r w:rsidRPr="001D74D7">
              <w:rPr>
                <w:rFonts w:eastAsia="Calibri"/>
                <w:color w:val="000000"/>
              </w:rPr>
              <w:t>22,500</w:t>
            </w:r>
          </w:p>
        </w:tc>
      </w:tr>
      <w:tr w:rsidR="004D1003" w:rsidRPr="001D74D7" w:rsidTr="00A074EA">
        <w:tc>
          <w:tcPr>
            <w:tcW w:w="2448" w:type="dxa"/>
            <w:hideMark/>
          </w:tcPr>
          <w:p w:rsidR="004D1003" w:rsidRPr="001D74D7" w:rsidRDefault="004D1003" w:rsidP="00A074EA">
            <w:pPr>
              <w:jc w:val="center"/>
              <w:rPr>
                <w:rFonts w:eastAsia="Calibri"/>
                <w:color w:val="000000"/>
              </w:rPr>
            </w:pPr>
            <w:r w:rsidRPr="001D74D7">
              <w:rPr>
                <w:rFonts w:eastAsia="Calibri"/>
                <w:color w:val="000000"/>
              </w:rPr>
              <w:t>2016</w:t>
            </w:r>
          </w:p>
        </w:tc>
        <w:tc>
          <w:tcPr>
            <w:tcW w:w="3792" w:type="dxa"/>
            <w:hideMark/>
          </w:tcPr>
          <w:p w:rsidR="004D1003" w:rsidRPr="001D74D7" w:rsidRDefault="004D1003" w:rsidP="00A074EA">
            <w:pPr>
              <w:jc w:val="center"/>
              <w:rPr>
                <w:rFonts w:eastAsia="Calibri"/>
                <w:color w:val="000000"/>
              </w:rPr>
            </w:pPr>
            <w:r w:rsidRPr="001D74D7">
              <w:rPr>
                <w:rFonts w:eastAsia="Calibri"/>
                <w:color w:val="000000"/>
              </w:rPr>
              <w:t>25,000</w:t>
            </w:r>
          </w:p>
        </w:tc>
      </w:tr>
      <w:tr w:rsidR="004D1003" w:rsidRPr="001D74D7" w:rsidTr="00A074EA">
        <w:tc>
          <w:tcPr>
            <w:tcW w:w="2448" w:type="dxa"/>
            <w:hideMark/>
          </w:tcPr>
          <w:p w:rsidR="004D1003" w:rsidRPr="001D74D7" w:rsidRDefault="004D1003" w:rsidP="00A074EA">
            <w:pPr>
              <w:jc w:val="center"/>
              <w:rPr>
                <w:rFonts w:eastAsia="Calibri"/>
                <w:color w:val="000000"/>
              </w:rPr>
            </w:pPr>
            <w:r w:rsidRPr="001D74D7">
              <w:rPr>
                <w:rFonts w:eastAsia="Calibri"/>
                <w:color w:val="000000"/>
              </w:rPr>
              <w:t>2017</w:t>
            </w:r>
          </w:p>
        </w:tc>
        <w:tc>
          <w:tcPr>
            <w:tcW w:w="3792" w:type="dxa"/>
            <w:hideMark/>
          </w:tcPr>
          <w:p w:rsidR="004D1003" w:rsidRPr="001D74D7" w:rsidRDefault="004D1003" w:rsidP="00A074EA">
            <w:pPr>
              <w:jc w:val="center"/>
              <w:rPr>
                <w:rFonts w:eastAsia="Calibri"/>
                <w:color w:val="000000"/>
              </w:rPr>
            </w:pPr>
            <w:r w:rsidRPr="001D74D7">
              <w:rPr>
                <w:rFonts w:eastAsia="Calibri"/>
                <w:color w:val="000000"/>
              </w:rPr>
              <w:t>30,000</w:t>
            </w:r>
          </w:p>
        </w:tc>
      </w:tr>
      <w:tr w:rsidR="004D1003" w:rsidRPr="001D74D7" w:rsidTr="00A074EA">
        <w:tc>
          <w:tcPr>
            <w:tcW w:w="2448" w:type="dxa"/>
            <w:hideMark/>
          </w:tcPr>
          <w:p w:rsidR="004D1003" w:rsidRPr="001D74D7" w:rsidRDefault="004D1003" w:rsidP="00A074EA">
            <w:pPr>
              <w:jc w:val="center"/>
              <w:rPr>
                <w:rFonts w:eastAsia="Calibri"/>
                <w:color w:val="000000"/>
              </w:rPr>
            </w:pPr>
            <w:r w:rsidRPr="001D74D7">
              <w:rPr>
                <w:rFonts w:eastAsia="Calibri"/>
                <w:color w:val="000000"/>
              </w:rPr>
              <w:t>2018</w:t>
            </w:r>
          </w:p>
        </w:tc>
        <w:tc>
          <w:tcPr>
            <w:tcW w:w="3792" w:type="dxa"/>
            <w:hideMark/>
          </w:tcPr>
          <w:p w:rsidR="004D1003" w:rsidRPr="001D74D7" w:rsidRDefault="003946C4" w:rsidP="00A074EA">
            <w:pPr>
              <w:jc w:val="center"/>
              <w:rPr>
                <w:rFonts w:eastAsia="Calibri"/>
                <w:color w:val="000000"/>
              </w:rPr>
            </w:pPr>
            <w:r>
              <w:rPr>
                <w:rFonts w:eastAsia="Calibri"/>
                <w:color w:val="000000"/>
              </w:rPr>
              <w:t xml:space="preserve">  </w:t>
            </w:r>
            <w:r w:rsidR="004D1003" w:rsidRPr="001D74D7">
              <w:rPr>
                <w:rFonts w:eastAsia="Calibri"/>
                <w:color w:val="000000"/>
              </w:rPr>
              <w:t>7,000</w:t>
            </w:r>
          </w:p>
        </w:tc>
      </w:tr>
      <w:tr w:rsidR="004D1003" w:rsidRPr="001D74D7" w:rsidTr="00A074EA">
        <w:tc>
          <w:tcPr>
            <w:tcW w:w="2448" w:type="dxa"/>
            <w:hideMark/>
          </w:tcPr>
          <w:p w:rsidR="004D1003" w:rsidRPr="001D74D7" w:rsidRDefault="004D1003" w:rsidP="00A074EA">
            <w:pPr>
              <w:jc w:val="center"/>
              <w:rPr>
                <w:rFonts w:eastAsia="Calibri"/>
                <w:color w:val="000000"/>
              </w:rPr>
            </w:pPr>
            <w:r w:rsidRPr="001D74D7">
              <w:rPr>
                <w:rFonts w:eastAsia="Calibri"/>
                <w:color w:val="000000"/>
              </w:rPr>
              <w:t>2019</w:t>
            </w:r>
          </w:p>
        </w:tc>
        <w:tc>
          <w:tcPr>
            <w:tcW w:w="3792" w:type="dxa"/>
          </w:tcPr>
          <w:p w:rsidR="004D1003" w:rsidRPr="001D74D7" w:rsidRDefault="003946C4" w:rsidP="00A074EA">
            <w:pPr>
              <w:jc w:val="center"/>
              <w:rPr>
                <w:rFonts w:eastAsia="Calibri"/>
                <w:color w:val="000000"/>
              </w:rPr>
            </w:pPr>
            <w:r>
              <w:rPr>
                <w:rFonts w:eastAsia="Calibri"/>
                <w:color w:val="000000"/>
              </w:rPr>
              <w:t xml:space="preserve">  </w:t>
            </w:r>
            <w:r w:rsidR="004D1003" w:rsidRPr="001D74D7">
              <w:rPr>
                <w:rFonts w:eastAsia="Calibri"/>
                <w:color w:val="000000"/>
              </w:rPr>
              <w:t>6,000</w:t>
            </w:r>
          </w:p>
          <w:p w:rsidR="004D1003" w:rsidRPr="001D74D7" w:rsidRDefault="004D1003" w:rsidP="00A074EA">
            <w:pPr>
              <w:jc w:val="center"/>
              <w:rPr>
                <w:rFonts w:eastAsia="Calibri"/>
                <w:color w:val="000000"/>
                <w:sz w:val="2"/>
                <w:szCs w:val="2"/>
              </w:rPr>
            </w:pPr>
          </w:p>
        </w:tc>
      </w:tr>
      <w:tr w:rsidR="004D1003" w:rsidRPr="001D74D7" w:rsidTr="00A074EA">
        <w:tc>
          <w:tcPr>
            <w:tcW w:w="2448" w:type="dxa"/>
            <w:hideMark/>
          </w:tcPr>
          <w:p w:rsidR="004D1003" w:rsidRPr="001D74D7" w:rsidRDefault="004D1003" w:rsidP="00A074EA">
            <w:pPr>
              <w:jc w:val="center"/>
              <w:rPr>
                <w:rFonts w:eastAsia="Calibri"/>
                <w:color w:val="000000"/>
                <w:szCs w:val="20"/>
              </w:rPr>
            </w:pPr>
            <w:r w:rsidRPr="001D74D7">
              <w:rPr>
                <w:rFonts w:eastAsia="Calibri"/>
                <w:color w:val="000000"/>
              </w:rPr>
              <w:t>2020</w:t>
            </w:r>
          </w:p>
        </w:tc>
        <w:tc>
          <w:tcPr>
            <w:tcW w:w="3792" w:type="dxa"/>
          </w:tcPr>
          <w:p w:rsidR="004D1003" w:rsidRPr="001D74D7" w:rsidRDefault="003946C4" w:rsidP="00A074EA">
            <w:pPr>
              <w:jc w:val="center"/>
              <w:rPr>
                <w:rFonts w:eastAsia="Calibri"/>
                <w:color w:val="000000"/>
              </w:rPr>
            </w:pPr>
            <w:r>
              <w:rPr>
                <w:rFonts w:eastAsia="Calibri"/>
                <w:color w:val="000000"/>
              </w:rPr>
              <w:t xml:space="preserve">  </w:t>
            </w:r>
            <w:r w:rsidR="004D1003" w:rsidRPr="001D74D7">
              <w:rPr>
                <w:rFonts w:eastAsia="Calibri"/>
                <w:color w:val="000000"/>
              </w:rPr>
              <w:t>5,000</w:t>
            </w:r>
          </w:p>
          <w:p w:rsidR="004D1003" w:rsidRPr="001D74D7" w:rsidRDefault="004D1003" w:rsidP="00A074EA">
            <w:pPr>
              <w:jc w:val="center"/>
              <w:rPr>
                <w:rFonts w:eastAsia="Calibri"/>
                <w:strike/>
                <w:color w:val="000000"/>
              </w:rPr>
            </w:pPr>
          </w:p>
        </w:tc>
      </w:tr>
    </w:tbl>
    <w:p w:rsidR="004D1003" w:rsidRPr="001D74D7" w:rsidRDefault="004D1003" w:rsidP="004D1003">
      <w:pPr>
        <w:ind w:left="1440" w:hanging="720"/>
        <w:rPr>
          <w:rFonts w:eastAsia="Calibri"/>
          <w:color w:val="000000"/>
          <w:szCs w:val="20"/>
        </w:rPr>
      </w:pPr>
    </w:p>
    <w:p w:rsidR="004D1003" w:rsidRPr="001D74D7" w:rsidRDefault="004D1003" w:rsidP="004D1003">
      <w:pPr>
        <w:ind w:left="1440" w:hanging="720"/>
        <w:rPr>
          <w:rFonts w:eastAsia="Calibri"/>
          <w:color w:val="000000"/>
        </w:rPr>
      </w:pPr>
      <w:r w:rsidRPr="001D74D7">
        <w:rPr>
          <w:rFonts w:eastAsia="Calibri"/>
          <w:color w:val="000000"/>
        </w:rPr>
        <w:t>b)</w:t>
      </w:r>
      <w:r w:rsidRPr="001D74D7">
        <w:rPr>
          <w:rFonts w:eastAsia="Calibri"/>
          <w:color w:val="000000"/>
        </w:rPr>
        <w:tab/>
        <w:t>Failure to Achieve Annual Collection Goals in Calendar Year 2015 or 2017</w:t>
      </w:r>
    </w:p>
    <w:p w:rsidR="004D1003" w:rsidRPr="001D74D7" w:rsidRDefault="004D1003" w:rsidP="004D1003">
      <w:pPr>
        <w:ind w:left="1440" w:hanging="720"/>
        <w:rPr>
          <w:rFonts w:eastAsia="Calibri"/>
          <w:color w:val="000000"/>
        </w:rPr>
      </w:pPr>
    </w:p>
    <w:p w:rsidR="004D1003" w:rsidRPr="001D74D7" w:rsidRDefault="004D1003" w:rsidP="004D1003">
      <w:pPr>
        <w:ind w:left="2160" w:hanging="720"/>
        <w:rPr>
          <w:rFonts w:ascii="Courier New" w:hAnsi="Courier New" w:cs="Courier New"/>
          <w:sz w:val="20"/>
        </w:rPr>
      </w:pPr>
      <w:r w:rsidRPr="001D74D7">
        <w:rPr>
          <w:rFonts w:eastAsia="Calibri"/>
          <w:color w:val="000000"/>
        </w:rPr>
        <w:t>1)</w:t>
      </w:r>
      <w:r w:rsidRPr="001D74D7">
        <w:rPr>
          <w:rFonts w:eastAsia="Calibri"/>
          <w:color w:val="000000"/>
        </w:rPr>
        <w:tab/>
      </w:r>
      <w:r w:rsidRPr="001D74D7">
        <w:rPr>
          <w:i/>
        </w:rPr>
        <w:t xml:space="preserve">If the collection programs do not collectively achieve the collection goals provided for in </w:t>
      </w:r>
      <w:r w:rsidRPr="001D74D7">
        <w:t>this Part</w:t>
      </w:r>
      <w:r w:rsidRPr="001D74D7">
        <w:rPr>
          <w:i/>
        </w:rPr>
        <w:t xml:space="preserve"> for calendar year 2015 or 2017, thermostat manufacturers shall, individually or collectively, submit to the Agency for review and approval proposed revisions to the collection programs that are designed to achieve the goals in subsequent calendar years. The proposed revisions shall be submitted to the Agency with the annual report required in Section 20 of the Act.</w:t>
      </w:r>
      <w:r w:rsidRPr="001D74D7">
        <w:t xml:space="preserve"> [415 ILCS 98/15(c)]</w:t>
      </w:r>
    </w:p>
    <w:p w:rsidR="004D1003" w:rsidRPr="001D74D7" w:rsidRDefault="004D1003" w:rsidP="004D1003">
      <w:pPr>
        <w:ind w:left="2160" w:hanging="720"/>
        <w:rPr>
          <w:rFonts w:eastAsia="Calibri"/>
          <w:color w:val="000000"/>
        </w:rPr>
      </w:pPr>
    </w:p>
    <w:p w:rsidR="004D1003" w:rsidRPr="001D74D7" w:rsidRDefault="004D1003" w:rsidP="004D1003">
      <w:pPr>
        <w:ind w:left="2160" w:hanging="720"/>
        <w:rPr>
          <w:rFonts w:eastAsia="Calibri"/>
          <w:color w:val="000000"/>
        </w:rPr>
      </w:pPr>
      <w:r w:rsidRPr="001D74D7">
        <w:rPr>
          <w:rFonts w:eastAsia="Calibri"/>
          <w:color w:val="000000"/>
        </w:rPr>
        <w:t>2)</w:t>
      </w:r>
      <w:r w:rsidRPr="001D74D7">
        <w:rPr>
          <w:rFonts w:eastAsia="Calibri"/>
          <w:color w:val="000000"/>
        </w:rPr>
        <w:tab/>
      </w:r>
      <w:r w:rsidRPr="001D74D7">
        <w:rPr>
          <w:rFonts w:eastAsia="Calibri"/>
          <w:i/>
          <w:color w:val="000000"/>
        </w:rPr>
        <w:t xml:space="preserve">If the Agency determines the revised collection programs will not collectively achieve the collection goals set forth in </w:t>
      </w:r>
      <w:r w:rsidRPr="001D74D7">
        <w:rPr>
          <w:rFonts w:eastAsia="Calibri"/>
          <w:color w:val="000000"/>
        </w:rPr>
        <w:t>this Part</w:t>
      </w:r>
      <w:r w:rsidRPr="001D74D7">
        <w:rPr>
          <w:rFonts w:eastAsia="Calibri"/>
          <w:i/>
          <w:color w:val="000000"/>
        </w:rPr>
        <w:t xml:space="preserve">, the Agency may require modifications to one or more collection programs that the Agency determines are necessary to achieve the collection goals.  Modifications required by the Agency may include improvements to outreach and education conducted under the collection program, expansion of the number and location of collection sites established under the program, modification of the roles of participants, and a $5 financial incentive in the form of either cash or a coupon offered by the manufacturer to contractors and consumers for each out-of-service mercury thermostat returned to a collection site.  </w:t>
      </w:r>
      <w:r w:rsidRPr="001D74D7">
        <w:rPr>
          <w:rFonts w:eastAsia="Calibri"/>
          <w:color w:val="000000"/>
        </w:rPr>
        <w:t>[415 ILCS 98/15(d)(2)]</w:t>
      </w:r>
    </w:p>
    <w:p w:rsidR="004D1003" w:rsidRPr="001D74D7" w:rsidRDefault="004D1003" w:rsidP="004D1003">
      <w:pPr>
        <w:ind w:left="1440" w:hanging="720"/>
        <w:rPr>
          <w:rFonts w:eastAsia="Calibri"/>
          <w:color w:val="000000"/>
        </w:rPr>
      </w:pPr>
    </w:p>
    <w:p w:rsidR="004D1003" w:rsidRPr="001D74D7" w:rsidRDefault="004D1003" w:rsidP="004D1003">
      <w:pPr>
        <w:ind w:left="1440" w:hanging="720"/>
        <w:rPr>
          <w:rFonts w:eastAsia="Calibri"/>
          <w:color w:val="000000"/>
        </w:rPr>
      </w:pPr>
      <w:r w:rsidRPr="001D74D7">
        <w:rPr>
          <w:rFonts w:eastAsia="Calibri"/>
          <w:color w:val="000000"/>
        </w:rPr>
        <w:lastRenderedPageBreak/>
        <w:t>c)</w:t>
      </w:r>
      <w:r w:rsidRPr="001D74D7">
        <w:rPr>
          <w:rFonts w:eastAsia="Calibri"/>
          <w:color w:val="000000"/>
        </w:rPr>
        <w:tab/>
      </w:r>
      <w:r w:rsidRPr="001D74D7">
        <w:rPr>
          <w:rFonts w:eastAsia="Calibri"/>
          <w:i/>
          <w:color w:val="000000"/>
        </w:rPr>
        <w:t xml:space="preserve">Any person adversely affected by a goal established by </w:t>
      </w:r>
      <w:r w:rsidRPr="001D74D7">
        <w:rPr>
          <w:rFonts w:eastAsia="Calibri"/>
          <w:color w:val="000000"/>
        </w:rPr>
        <w:t xml:space="preserve">subsection (a) </w:t>
      </w:r>
      <w:r w:rsidRPr="001D74D7">
        <w:rPr>
          <w:rFonts w:eastAsia="Calibri"/>
          <w:i/>
          <w:color w:val="000000"/>
        </w:rPr>
        <w:t xml:space="preserve">may obtain a determination of the validity or application of the goal by filing a petition for review </w:t>
      </w:r>
      <w:r w:rsidRPr="001D74D7">
        <w:rPr>
          <w:rFonts w:eastAsia="Calibri"/>
          <w:color w:val="000000"/>
        </w:rPr>
        <w:t>on or before January 9, 2015</w:t>
      </w:r>
      <w:r w:rsidRPr="001D74D7">
        <w:rPr>
          <w:rFonts w:eastAsia="Calibri"/>
          <w:i/>
          <w:color w:val="000000"/>
        </w:rPr>
        <w:t xml:space="preserve">.  </w:t>
      </w:r>
      <w:r w:rsidRPr="001D74D7">
        <w:rPr>
          <w:rFonts w:eastAsia="Calibri"/>
          <w:color w:val="000000"/>
        </w:rPr>
        <w:t xml:space="preserve">Any appeal must be filed in </w:t>
      </w:r>
      <w:r w:rsidRPr="001D74D7">
        <w:rPr>
          <w:rFonts w:eastAsia="Calibri"/>
          <w:i/>
          <w:color w:val="000000"/>
        </w:rPr>
        <w:t>with the Appellate Court for the District in which the cause of action arose.  During the pendency of the review, the goal under review shall remain in effect.</w:t>
      </w:r>
      <w:r w:rsidRPr="001D74D7">
        <w:rPr>
          <w:rFonts w:eastAsia="Calibri"/>
          <w:color w:val="000000"/>
        </w:rPr>
        <w:t xml:space="preserve">  [415 ILCS 98/25(d)]</w:t>
      </w:r>
    </w:p>
    <w:p w:rsidR="004D1003" w:rsidRPr="001D74D7" w:rsidRDefault="004D1003" w:rsidP="004D1003">
      <w:pPr>
        <w:rPr>
          <w:rFonts w:eastAsia="Calibri"/>
          <w:color w:val="000000"/>
        </w:rPr>
      </w:pPr>
    </w:p>
    <w:p w:rsidR="004D1003" w:rsidRPr="001D74D7" w:rsidRDefault="004D1003" w:rsidP="004D1003">
      <w:pPr>
        <w:ind w:left="1440" w:hanging="720"/>
        <w:rPr>
          <w:rFonts w:eastAsia="Calibri"/>
          <w:color w:val="000000"/>
        </w:rPr>
      </w:pPr>
      <w:r w:rsidRPr="001D74D7">
        <w:rPr>
          <w:rFonts w:eastAsia="Calibri"/>
          <w:color w:val="000000"/>
        </w:rPr>
        <w:t>d)</w:t>
      </w:r>
      <w:r w:rsidRPr="001D74D7">
        <w:rPr>
          <w:rFonts w:eastAsia="Calibri"/>
          <w:color w:val="000000"/>
        </w:rPr>
        <w:tab/>
      </w:r>
      <w:bookmarkStart w:id="2" w:name="_Hlk506466994"/>
      <w:r w:rsidRPr="001D74D7">
        <w:rPr>
          <w:i/>
        </w:rPr>
        <w:t>No later than April 1,</w:t>
      </w:r>
      <w:r w:rsidRPr="001D74D7">
        <w:t xml:space="preserve"> 2016 </w:t>
      </w:r>
      <w:r w:rsidRPr="001D74D7">
        <w:rPr>
          <w:i/>
        </w:rPr>
        <w:t>and no later than April 1 of each year thereafter, each thermostat manufacturer shall, individually or collectively with other thermostat manufacturers, submit an annual report on its collection program to the Agency covering the one-year period ending December 31 of the previous year,</w:t>
      </w:r>
      <w:r w:rsidRPr="001D74D7">
        <w:t xml:space="preserve"> to </w:t>
      </w:r>
      <w:r w:rsidRPr="001D74D7">
        <w:rPr>
          <w:i/>
        </w:rPr>
        <w:t xml:space="preserve">be posted on the manufacturer’s website </w:t>
      </w:r>
      <w:r w:rsidRPr="001D74D7">
        <w:t xml:space="preserve">in accordance with Section 20(b) of the Act. [415 ILCS 98/20(b)]  </w:t>
      </w:r>
      <w:bookmarkEnd w:id="2"/>
    </w:p>
    <w:p w:rsidR="004D1003" w:rsidRDefault="004D1003" w:rsidP="004D1003">
      <w:pPr>
        <w:rPr>
          <w:rFonts w:eastAsia="Calibri"/>
          <w:color w:val="000000"/>
        </w:rPr>
      </w:pPr>
    </w:p>
    <w:p w:rsidR="004D1003" w:rsidRDefault="004D1003" w:rsidP="004D1003">
      <w:pPr>
        <w:ind w:firstLine="720"/>
        <w:rPr>
          <w:rFonts w:eastAsia="Calibri"/>
          <w:color w:val="000000"/>
        </w:rPr>
      </w:pPr>
      <w:r>
        <w:t>(Source</w:t>
      </w:r>
      <w:r w:rsidR="001A251D">
        <w:t>:  Amended at 42 Ill. Reg. 24897</w:t>
      </w:r>
      <w:r>
        <w:t xml:space="preserve">, effective </w:t>
      </w:r>
      <w:r w:rsidR="001A251D">
        <w:t>December 11, 2018</w:t>
      </w:r>
      <w:r>
        <w:t>.)</w:t>
      </w:r>
    </w:p>
    <w:p w:rsidR="009C6750" w:rsidRDefault="009C6750" w:rsidP="009C6750">
      <w:pPr>
        <w:sectPr w:rsidR="009C6750" w:rsidSect="006D4D72">
          <w:headerReference w:type="default" r:id="rId10"/>
          <w:pgSz w:w="12240" w:h="15840" w:code="1"/>
          <w:pgMar w:top="1440" w:right="1440" w:bottom="1440" w:left="1440" w:header="1440" w:footer="1440" w:gutter="0"/>
          <w:cols w:space="720"/>
          <w:noEndnote/>
          <w:docGrid w:linePitch="326"/>
        </w:sectPr>
      </w:pPr>
    </w:p>
    <w:p w:rsidR="004D1003" w:rsidRPr="00C7698C" w:rsidRDefault="004D1003" w:rsidP="004D1003">
      <w:pPr>
        <w:rPr>
          <w:rFonts w:eastAsia="Calibri"/>
          <w:b/>
          <w:color w:val="000000"/>
        </w:rPr>
      </w:pPr>
      <w:r w:rsidRPr="00C7698C">
        <w:rPr>
          <w:rFonts w:eastAsia="Calibri"/>
          <w:b/>
          <w:color w:val="000000"/>
        </w:rPr>
        <w:lastRenderedPageBreak/>
        <w:t>Section 190.135  Narrative Collection Program Goals</w:t>
      </w:r>
    </w:p>
    <w:p w:rsidR="004D1003" w:rsidRPr="00C7698C" w:rsidRDefault="004D1003" w:rsidP="004D1003">
      <w:pPr>
        <w:ind w:left="1440" w:hanging="720"/>
        <w:rPr>
          <w:rFonts w:eastAsia="Calibri"/>
          <w:color w:val="000000"/>
        </w:rPr>
      </w:pPr>
    </w:p>
    <w:p w:rsidR="004D1003" w:rsidRPr="00C7698C" w:rsidRDefault="004D1003" w:rsidP="004D1003">
      <w:pPr>
        <w:ind w:left="1440" w:hanging="720"/>
        <w:rPr>
          <w:rFonts w:eastAsia="Calibri"/>
          <w:color w:val="000000"/>
        </w:rPr>
      </w:pPr>
      <w:r w:rsidRPr="00C7698C">
        <w:rPr>
          <w:rFonts w:eastAsia="Calibri"/>
          <w:color w:val="000000"/>
        </w:rPr>
        <w:t>a)</w:t>
      </w:r>
      <w:r w:rsidRPr="00C7698C">
        <w:rPr>
          <w:rFonts w:eastAsia="Calibri"/>
          <w:color w:val="000000"/>
        </w:rPr>
        <w:tab/>
        <w:t>Collection Program Goals</w:t>
      </w:r>
    </w:p>
    <w:p w:rsidR="004D1003" w:rsidRPr="00C7698C" w:rsidRDefault="004D1003" w:rsidP="004D1003">
      <w:pPr>
        <w:ind w:left="1440" w:hanging="720"/>
        <w:rPr>
          <w:rFonts w:eastAsia="Calibri"/>
          <w:color w:val="000000"/>
        </w:rPr>
      </w:pPr>
    </w:p>
    <w:p w:rsidR="004D1003" w:rsidRPr="00C7698C" w:rsidRDefault="004D1003" w:rsidP="004D1003">
      <w:pPr>
        <w:ind w:left="2160" w:hanging="720"/>
        <w:rPr>
          <w:rFonts w:eastAsia="Calibri"/>
          <w:color w:val="000000"/>
        </w:rPr>
      </w:pPr>
      <w:r w:rsidRPr="00C7698C">
        <w:rPr>
          <w:rFonts w:eastAsia="Calibri"/>
          <w:color w:val="000000"/>
        </w:rPr>
        <w:t>1)</w:t>
      </w:r>
      <w:r w:rsidRPr="00C7698C">
        <w:rPr>
          <w:rFonts w:eastAsia="Calibri"/>
          <w:color w:val="000000"/>
        </w:rPr>
        <w:tab/>
        <w:t>Each collection program must maintain at least 525 collection locations statewide, or 20% more collection locations statewide than were maintained during the previous calendar year, whichever is less.</w:t>
      </w:r>
    </w:p>
    <w:p w:rsidR="004D1003" w:rsidRPr="00C7698C" w:rsidRDefault="004D1003" w:rsidP="004D1003">
      <w:pPr>
        <w:ind w:left="1440" w:hanging="720"/>
        <w:rPr>
          <w:rFonts w:eastAsia="Calibri"/>
          <w:color w:val="000000"/>
        </w:rPr>
      </w:pPr>
    </w:p>
    <w:p w:rsidR="004D1003" w:rsidRPr="00C7698C" w:rsidRDefault="004D1003" w:rsidP="004D1003">
      <w:pPr>
        <w:ind w:left="2160" w:hanging="720"/>
        <w:rPr>
          <w:rFonts w:eastAsia="Calibri"/>
          <w:color w:val="000000"/>
        </w:rPr>
      </w:pPr>
      <w:r w:rsidRPr="00C7698C">
        <w:rPr>
          <w:rFonts w:eastAsia="Calibri"/>
          <w:color w:val="000000"/>
        </w:rPr>
        <w:t>2)</w:t>
      </w:r>
      <w:r w:rsidRPr="00C7698C">
        <w:rPr>
          <w:rFonts w:eastAsia="Calibri"/>
          <w:color w:val="000000"/>
        </w:rPr>
        <w:tab/>
        <w:t>Each collection program must engage in outreach to its collection locations, as follows:</w:t>
      </w:r>
    </w:p>
    <w:p w:rsidR="004D1003" w:rsidRPr="00C7698C" w:rsidRDefault="004D1003" w:rsidP="004D1003">
      <w:pPr>
        <w:ind w:left="1440" w:hanging="720"/>
        <w:rPr>
          <w:rFonts w:eastAsia="Calibri"/>
          <w:color w:val="000000"/>
        </w:rPr>
      </w:pPr>
    </w:p>
    <w:p w:rsidR="004D1003" w:rsidRPr="00C7698C" w:rsidRDefault="004D1003" w:rsidP="004D1003">
      <w:pPr>
        <w:ind w:left="2880" w:hanging="720"/>
        <w:rPr>
          <w:rFonts w:eastAsia="Calibri"/>
          <w:color w:val="000000"/>
        </w:rPr>
      </w:pPr>
      <w:r w:rsidRPr="00C7698C">
        <w:rPr>
          <w:rFonts w:eastAsia="Calibri"/>
          <w:color w:val="000000"/>
        </w:rPr>
        <w:t>A)</w:t>
      </w:r>
      <w:r w:rsidRPr="00C7698C">
        <w:rPr>
          <w:rFonts w:eastAsia="Calibri"/>
          <w:color w:val="000000"/>
        </w:rPr>
        <w:tab/>
        <w:t>Biannual in-person on-site outreach, by a collection program representative, to any collection location in its collection program that returned 20 or fewer mercury thermostats during either of the previous two calendar years.</w:t>
      </w:r>
    </w:p>
    <w:p w:rsidR="004D1003" w:rsidRPr="00C7698C" w:rsidRDefault="004D1003" w:rsidP="004D1003">
      <w:pPr>
        <w:ind w:left="1440" w:hanging="720"/>
        <w:rPr>
          <w:rFonts w:eastAsia="Calibri"/>
          <w:color w:val="000000"/>
        </w:rPr>
      </w:pPr>
    </w:p>
    <w:p w:rsidR="004D1003" w:rsidRPr="00C7698C" w:rsidRDefault="004D1003" w:rsidP="004D1003">
      <w:pPr>
        <w:ind w:left="2880" w:hanging="720"/>
        <w:rPr>
          <w:rFonts w:eastAsia="Calibri"/>
          <w:color w:val="000000"/>
        </w:rPr>
      </w:pPr>
      <w:r w:rsidRPr="00C7698C">
        <w:rPr>
          <w:rFonts w:eastAsia="Calibri"/>
          <w:color w:val="000000"/>
        </w:rPr>
        <w:t>B)</w:t>
      </w:r>
      <w:r w:rsidRPr="00C7698C">
        <w:rPr>
          <w:rFonts w:eastAsia="Calibri"/>
          <w:color w:val="000000"/>
        </w:rPr>
        <w:tab/>
        <w:t>Quarterly telephonic outreach to any collection location in its collection program that returned 40 or fewer mercury thermostats during the previous calendar year.</w:t>
      </w:r>
    </w:p>
    <w:p w:rsidR="004D1003" w:rsidRPr="00C7698C" w:rsidRDefault="004D1003" w:rsidP="004D1003">
      <w:pPr>
        <w:ind w:left="1440" w:hanging="720"/>
        <w:rPr>
          <w:rFonts w:eastAsia="Calibri"/>
          <w:color w:val="000000"/>
        </w:rPr>
      </w:pPr>
    </w:p>
    <w:p w:rsidR="004D1003" w:rsidRPr="00C7698C" w:rsidRDefault="004D1003" w:rsidP="004D1003">
      <w:pPr>
        <w:ind w:left="2880" w:hanging="720"/>
        <w:rPr>
          <w:rFonts w:eastAsia="Calibri"/>
          <w:color w:val="000000"/>
        </w:rPr>
      </w:pPr>
      <w:r w:rsidRPr="00C7698C">
        <w:rPr>
          <w:rFonts w:eastAsia="Calibri"/>
          <w:color w:val="000000"/>
        </w:rPr>
        <w:t>C)</w:t>
      </w:r>
      <w:r w:rsidRPr="00C7698C">
        <w:rPr>
          <w:rFonts w:eastAsia="Calibri"/>
          <w:color w:val="000000"/>
        </w:rPr>
        <w:tab/>
        <w:t>Quarterly electronic outreach to all collection locations in its collection program.</w:t>
      </w:r>
    </w:p>
    <w:p w:rsidR="004D1003" w:rsidRPr="00C7698C" w:rsidRDefault="004D1003" w:rsidP="004D1003">
      <w:pPr>
        <w:ind w:left="1440" w:hanging="720"/>
        <w:rPr>
          <w:rFonts w:eastAsia="Calibri"/>
          <w:color w:val="000000"/>
        </w:rPr>
      </w:pPr>
    </w:p>
    <w:p w:rsidR="004D1003" w:rsidRPr="00C7698C" w:rsidRDefault="004D1003" w:rsidP="004D1003">
      <w:pPr>
        <w:ind w:left="2160" w:hanging="720"/>
        <w:rPr>
          <w:rFonts w:eastAsia="Calibri"/>
          <w:color w:val="000000"/>
        </w:rPr>
      </w:pPr>
      <w:bookmarkStart w:id="3" w:name="_Hlk508372292"/>
      <w:r w:rsidRPr="00C7698C">
        <w:rPr>
          <w:rFonts w:eastAsia="Calibri"/>
          <w:color w:val="000000"/>
        </w:rPr>
        <w:t>3)</w:t>
      </w:r>
      <w:r w:rsidRPr="00C7698C">
        <w:rPr>
          <w:rFonts w:eastAsia="Calibri"/>
          <w:color w:val="000000"/>
        </w:rPr>
        <w:tab/>
        <w:t>Each collection program must include outreach campaigns targeting additional potential program participants.</w:t>
      </w:r>
    </w:p>
    <w:p w:rsidR="004D1003" w:rsidRPr="00C7698C" w:rsidRDefault="004D1003" w:rsidP="004D1003">
      <w:pPr>
        <w:ind w:left="2160" w:hanging="720"/>
        <w:rPr>
          <w:rFonts w:eastAsia="Calibri"/>
          <w:color w:val="000000"/>
        </w:rPr>
      </w:pPr>
    </w:p>
    <w:p w:rsidR="004D1003" w:rsidRPr="00C7698C" w:rsidRDefault="004D1003" w:rsidP="004D1003">
      <w:pPr>
        <w:ind w:left="2880" w:hanging="720"/>
        <w:rPr>
          <w:rFonts w:eastAsia="Calibri"/>
          <w:color w:val="000000"/>
        </w:rPr>
      </w:pPr>
      <w:r w:rsidRPr="00C7698C">
        <w:rPr>
          <w:rFonts w:eastAsia="Calibri"/>
          <w:color w:val="000000"/>
        </w:rPr>
        <w:t>A)</w:t>
      </w:r>
      <w:r w:rsidRPr="00C7698C">
        <w:rPr>
          <w:rFonts w:eastAsia="Calibri"/>
          <w:color w:val="000000"/>
        </w:rPr>
        <w:tab/>
      </w:r>
      <w:bookmarkStart w:id="4" w:name="_Hlk508371940"/>
      <w:r w:rsidRPr="00C7698C">
        <w:rPr>
          <w:rFonts w:eastAsia="Calibri"/>
          <w:color w:val="000000"/>
        </w:rPr>
        <w:t>Each of the following categories of persons must be the target of at least two outreach campaigns:</w:t>
      </w:r>
      <w:bookmarkEnd w:id="4"/>
    </w:p>
    <w:bookmarkEnd w:id="3"/>
    <w:p w:rsidR="004D1003" w:rsidRPr="00C7698C" w:rsidRDefault="004D1003" w:rsidP="004D1003">
      <w:pPr>
        <w:rPr>
          <w:rFonts w:eastAsia="Calibri"/>
          <w:color w:val="000000"/>
        </w:rPr>
      </w:pPr>
    </w:p>
    <w:p w:rsidR="004D1003" w:rsidRPr="00C7698C" w:rsidRDefault="004D1003" w:rsidP="004D1003">
      <w:pPr>
        <w:ind w:left="1440"/>
        <w:rPr>
          <w:rFonts w:eastAsia="Calibri"/>
          <w:color w:val="000000"/>
        </w:rPr>
      </w:pPr>
      <w:r w:rsidRPr="00C7698C">
        <w:rPr>
          <w:rFonts w:eastAsia="Calibri"/>
          <w:color w:val="000000"/>
        </w:rPr>
        <w:tab/>
      </w:r>
      <w:r w:rsidRPr="00C7698C">
        <w:rPr>
          <w:rFonts w:eastAsia="Calibri"/>
          <w:color w:val="000000"/>
        </w:rPr>
        <w:tab/>
        <w:t>i)</w:t>
      </w:r>
      <w:r w:rsidRPr="00C7698C">
        <w:rPr>
          <w:rFonts w:eastAsia="Calibri"/>
          <w:color w:val="000000"/>
        </w:rPr>
        <w:tab/>
        <w:t>Thermostat wholesalers;</w:t>
      </w:r>
    </w:p>
    <w:p w:rsidR="004D1003" w:rsidRPr="00C7698C" w:rsidRDefault="004D1003" w:rsidP="004D1003">
      <w:pPr>
        <w:ind w:left="1440"/>
        <w:rPr>
          <w:rFonts w:eastAsia="Calibri"/>
          <w:color w:val="000000"/>
        </w:rPr>
      </w:pPr>
    </w:p>
    <w:p w:rsidR="004D1003" w:rsidRPr="00C7698C" w:rsidRDefault="004D1003" w:rsidP="004D1003">
      <w:pPr>
        <w:ind w:left="1440"/>
        <w:rPr>
          <w:rFonts w:eastAsia="Calibri"/>
          <w:color w:val="000000"/>
        </w:rPr>
      </w:pPr>
      <w:r w:rsidRPr="00C7698C">
        <w:rPr>
          <w:rFonts w:eastAsia="Calibri"/>
          <w:color w:val="000000"/>
        </w:rPr>
        <w:tab/>
      </w:r>
      <w:r w:rsidRPr="00C7698C">
        <w:rPr>
          <w:rFonts w:eastAsia="Calibri"/>
          <w:color w:val="000000"/>
        </w:rPr>
        <w:tab/>
        <w:t>ii)</w:t>
      </w:r>
      <w:r w:rsidRPr="00C7698C">
        <w:rPr>
          <w:rFonts w:eastAsia="Calibri"/>
          <w:color w:val="000000"/>
        </w:rPr>
        <w:tab/>
        <w:t>Contractors;</w:t>
      </w:r>
    </w:p>
    <w:p w:rsidR="004D1003" w:rsidRPr="00C7698C" w:rsidRDefault="004D1003" w:rsidP="004D1003">
      <w:pPr>
        <w:ind w:left="1440"/>
        <w:rPr>
          <w:rFonts w:eastAsia="Calibri"/>
          <w:color w:val="000000"/>
        </w:rPr>
      </w:pPr>
    </w:p>
    <w:p w:rsidR="004D1003" w:rsidRPr="00C7698C" w:rsidRDefault="004D1003" w:rsidP="004D1003">
      <w:pPr>
        <w:ind w:left="1440"/>
        <w:rPr>
          <w:rFonts w:eastAsia="Calibri"/>
          <w:color w:val="000000"/>
        </w:rPr>
      </w:pPr>
      <w:r w:rsidRPr="00C7698C">
        <w:rPr>
          <w:rFonts w:eastAsia="Calibri"/>
          <w:color w:val="000000"/>
        </w:rPr>
        <w:tab/>
      </w:r>
      <w:r w:rsidRPr="00C7698C">
        <w:rPr>
          <w:rFonts w:eastAsia="Calibri"/>
          <w:color w:val="000000"/>
        </w:rPr>
        <w:tab/>
        <w:t>iii)</w:t>
      </w:r>
      <w:r w:rsidRPr="00C7698C">
        <w:rPr>
          <w:rFonts w:eastAsia="Calibri"/>
          <w:color w:val="000000"/>
        </w:rPr>
        <w:tab/>
        <w:t>Thermostat retailers; and</w:t>
      </w:r>
    </w:p>
    <w:p w:rsidR="004D1003" w:rsidRPr="00C7698C" w:rsidRDefault="004D1003" w:rsidP="004D1003">
      <w:pPr>
        <w:ind w:left="1440"/>
        <w:rPr>
          <w:rFonts w:eastAsia="Calibri"/>
          <w:color w:val="000000"/>
        </w:rPr>
      </w:pPr>
    </w:p>
    <w:p w:rsidR="004D1003" w:rsidRPr="00C7698C" w:rsidRDefault="004D1003" w:rsidP="004D1003">
      <w:pPr>
        <w:ind w:left="2160" w:firstLine="720"/>
        <w:rPr>
          <w:rFonts w:eastAsia="Calibri"/>
          <w:color w:val="000000"/>
        </w:rPr>
      </w:pPr>
      <w:r w:rsidRPr="00C7698C">
        <w:rPr>
          <w:rFonts w:eastAsia="Calibri"/>
          <w:color w:val="000000"/>
        </w:rPr>
        <w:t>iv)</w:t>
      </w:r>
      <w:r w:rsidRPr="00C7698C">
        <w:rPr>
          <w:rFonts w:eastAsia="Calibri"/>
          <w:color w:val="000000"/>
        </w:rPr>
        <w:tab/>
        <w:t>Homeowners.</w:t>
      </w:r>
    </w:p>
    <w:p w:rsidR="004D1003" w:rsidRPr="00C7698C" w:rsidRDefault="004D1003" w:rsidP="004D1003">
      <w:pPr>
        <w:ind w:left="1440"/>
        <w:rPr>
          <w:rFonts w:eastAsia="Calibri"/>
          <w:color w:val="000000"/>
        </w:rPr>
      </w:pPr>
    </w:p>
    <w:p w:rsidR="004D1003" w:rsidRPr="00C7698C" w:rsidRDefault="004D1003" w:rsidP="004D1003">
      <w:pPr>
        <w:ind w:left="2880" w:hanging="720"/>
        <w:rPr>
          <w:rFonts w:eastAsia="Calibri"/>
          <w:color w:val="000000"/>
        </w:rPr>
      </w:pPr>
      <w:r w:rsidRPr="00C7698C">
        <w:rPr>
          <w:rFonts w:eastAsia="Calibri"/>
          <w:color w:val="000000"/>
        </w:rPr>
        <w:t>B)</w:t>
      </w:r>
      <w:r w:rsidRPr="00C7698C">
        <w:rPr>
          <w:rFonts w:eastAsia="Calibri"/>
          <w:color w:val="000000"/>
        </w:rPr>
        <w:tab/>
        <w:t>Each collection program’s outreach campaigns must include, at a minimum, information about its collection program, a description of the environmental benefits of participating in the collection program, and an offer to participate in its collection program.</w:t>
      </w:r>
    </w:p>
    <w:p w:rsidR="004D1003" w:rsidRPr="00C7698C" w:rsidRDefault="004D1003" w:rsidP="004D1003">
      <w:pPr>
        <w:ind w:left="2880" w:hanging="720"/>
        <w:rPr>
          <w:rFonts w:eastAsia="Calibri"/>
          <w:color w:val="000000"/>
        </w:rPr>
      </w:pPr>
    </w:p>
    <w:p w:rsidR="004D1003" w:rsidRPr="00C7698C" w:rsidRDefault="004D1003" w:rsidP="004D1003">
      <w:pPr>
        <w:ind w:left="2880" w:hanging="720"/>
        <w:rPr>
          <w:rFonts w:eastAsia="Calibri"/>
          <w:color w:val="000000"/>
        </w:rPr>
      </w:pPr>
      <w:r w:rsidRPr="00C7698C">
        <w:rPr>
          <w:rFonts w:eastAsia="Calibri"/>
          <w:color w:val="000000"/>
        </w:rPr>
        <w:lastRenderedPageBreak/>
        <w:t>C)</w:t>
      </w:r>
      <w:r w:rsidRPr="00C7698C">
        <w:rPr>
          <w:rFonts w:eastAsia="Calibri"/>
          <w:color w:val="000000"/>
        </w:rPr>
        <w:tab/>
        <w:t>Nothing in subsection (a)(3) prohibits any collection program from individually or collectively conducting additional outreach campaigns that target other audiences.</w:t>
      </w:r>
    </w:p>
    <w:p w:rsidR="004D1003" w:rsidRPr="00C7698C" w:rsidRDefault="004D1003" w:rsidP="004D1003">
      <w:pPr>
        <w:rPr>
          <w:rFonts w:eastAsia="Calibri"/>
          <w:color w:val="000000"/>
        </w:rPr>
      </w:pPr>
    </w:p>
    <w:p w:rsidR="004D1003" w:rsidRPr="00C7698C" w:rsidRDefault="004D1003" w:rsidP="004D1003">
      <w:pPr>
        <w:ind w:left="1440" w:hanging="720"/>
        <w:rPr>
          <w:rFonts w:eastAsia="Calibri"/>
          <w:color w:val="000000"/>
        </w:rPr>
      </w:pPr>
      <w:r w:rsidRPr="00C7698C">
        <w:rPr>
          <w:rFonts w:eastAsia="Calibri"/>
          <w:color w:val="000000"/>
        </w:rPr>
        <w:t>b)</w:t>
      </w:r>
      <w:r w:rsidRPr="00C7698C">
        <w:rPr>
          <w:rFonts w:eastAsia="Calibri"/>
          <w:color w:val="000000"/>
        </w:rPr>
        <w:tab/>
        <w:t>Each collection program must demonstrate compliance with this Section in its annual reporting that includes the number of thermostats collected pursuant to Section 190.130(d).</w:t>
      </w:r>
    </w:p>
    <w:p w:rsidR="004D1003" w:rsidRPr="00C7698C" w:rsidRDefault="004D1003" w:rsidP="004D1003">
      <w:pPr>
        <w:ind w:left="1440" w:hanging="720"/>
        <w:rPr>
          <w:rFonts w:eastAsia="Calibri"/>
          <w:color w:val="000000"/>
        </w:rPr>
      </w:pPr>
    </w:p>
    <w:p w:rsidR="004D1003" w:rsidRPr="00C7698C" w:rsidRDefault="004D1003" w:rsidP="004D1003">
      <w:pPr>
        <w:ind w:left="1440" w:hanging="720"/>
        <w:rPr>
          <w:rFonts w:eastAsia="Calibri"/>
          <w:color w:val="000000"/>
        </w:rPr>
      </w:pPr>
      <w:r w:rsidRPr="00C7698C">
        <w:rPr>
          <w:rFonts w:eastAsia="Calibri"/>
          <w:color w:val="000000"/>
        </w:rPr>
        <w:t>c)</w:t>
      </w:r>
      <w:r w:rsidRPr="00C7698C">
        <w:rPr>
          <w:rFonts w:eastAsia="Calibri"/>
          <w:color w:val="000000"/>
        </w:rPr>
        <w:tab/>
        <w:t>Compliance with the Collection Program Goals set forth in subsection (a) will constitute satisfaction of the collection goals established by the Agency in accordance with Section 25(c) of the Act and this Part.</w:t>
      </w:r>
    </w:p>
    <w:p w:rsidR="004D1003" w:rsidRDefault="004D1003" w:rsidP="004D1003">
      <w:pPr>
        <w:rPr>
          <w:rFonts w:eastAsia="Calibri"/>
          <w:color w:val="000000"/>
        </w:rPr>
      </w:pPr>
    </w:p>
    <w:p w:rsidR="004D1003" w:rsidRDefault="004D1003" w:rsidP="004D1003">
      <w:pPr>
        <w:ind w:firstLine="720"/>
        <w:rPr>
          <w:rFonts w:eastAsia="Calibri"/>
          <w:color w:val="000000"/>
        </w:rPr>
      </w:pPr>
      <w:r>
        <w:t>(Sour</w:t>
      </w:r>
      <w:r w:rsidR="001A251D">
        <w:t>ce:  Added at 42 Ill. Reg. 24897</w:t>
      </w:r>
      <w:r>
        <w:t xml:space="preserve">, effective </w:t>
      </w:r>
      <w:r w:rsidR="001A251D">
        <w:t>December 11, 2018</w:t>
      </w:r>
      <w:r>
        <w:t>.)</w:t>
      </w:r>
    </w:p>
    <w:p w:rsidR="009C6750" w:rsidRDefault="009C6750">
      <w:pPr>
        <w:sectPr w:rsidR="009C6750" w:rsidSect="006D4D72">
          <w:headerReference w:type="default" r:id="rId11"/>
          <w:pgSz w:w="12240" w:h="15840" w:code="1"/>
          <w:pgMar w:top="1440" w:right="1440" w:bottom="1440" w:left="1440" w:header="1440" w:footer="1440" w:gutter="0"/>
          <w:cols w:space="720"/>
          <w:noEndnote/>
          <w:docGrid w:linePitch="326"/>
        </w:sectPr>
      </w:pPr>
    </w:p>
    <w:p w:rsidR="004D1003" w:rsidRDefault="004D1003" w:rsidP="004D1003">
      <w:pPr>
        <w:autoSpaceDE w:val="0"/>
        <w:autoSpaceDN w:val="0"/>
        <w:adjustRightInd w:val="0"/>
        <w:rPr>
          <w:rFonts w:eastAsia="Calibri"/>
          <w:b/>
          <w:bCs/>
          <w:color w:val="000000"/>
        </w:rPr>
      </w:pPr>
      <w:r>
        <w:rPr>
          <w:rFonts w:eastAsia="Calibri"/>
          <w:b/>
          <w:bCs/>
          <w:color w:val="000000"/>
        </w:rPr>
        <w:lastRenderedPageBreak/>
        <w:t>Section 190.140  Severability</w:t>
      </w:r>
    </w:p>
    <w:p w:rsidR="004D1003" w:rsidRDefault="004D1003" w:rsidP="004D1003">
      <w:pPr>
        <w:autoSpaceDE w:val="0"/>
        <w:autoSpaceDN w:val="0"/>
        <w:adjustRightInd w:val="0"/>
        <w:rPr>
          <w:rFonts w:eastAsia="Calibri"/>
          <w:color w:val="000000"/>
        </w:rPr>
      </w:pPr>
    </w:p>
    <w:p w:rsidR="004D1003" w:rsidRDefault="004D1003" w:rsidP="004D1003">
      <w:pPr>
        <w:rPr>
          <w:rFonts w:eastAsia="Calibri"/>
          <w:color w:val="000000"/>
        </w:rPr>
      </w:pPr>
      <w:r>
        <w:rPr>
          <w:rFonts w:eastAsia="Calibri"/>
          <w:color w:val="000000"/>
        </w:rPr>
        <w:t>If any Section, subsection, sentence, or clause of this Part is judged invalid, that adjudication</w:t>
      </w:r>
      <w:r w:rsidRPr="00C7698C">
        <w:rPr>
          <w:rFonts w:eastAsia="Calibri"/>
          <w:color w:val="000000"/>
        </w:rPr>
        <w:t xml:space="preserve"> will</w:t>
      </w:r>
      <w:r>
        <w:rPr>
          <w:rFonts w:eastAsia="Calibri"/>
          <w:color w:val="000000"/>
        </w:rPr>
        <w:t xml:space="preserve"> not affect the validity of this Part as a whole or any Section, subsection, sentence, or clause of this Part not judged invalid.</w:t>
      </w:r>
    </w:p>
    <w:p w:rsidR="004D1003" w:rsidRDefault="004D1003" w:rsidP="004D1003">
      <w:pPr>
        <w:rPr>
          <w:rFonts w:ascii="CG Times" w:hAnsi="CG Times"/>
        </w:rPr>
      </w:pPr>
    </w:p>
    <w:p w:rsidR="000174EB" w:rsidRPr="007F1A99" w:rsidRDefault="004D1003" w:rsidP="004D1003">
      <w:pPr>
        <w:ind w:left="720"/>
      </w:pPr>
      <w:r>
        <w:rPr>
          <w:snapToGrid w:val="0"/>
        </w:rPr>
        <w:t>(Source</w:t>
      </w:r>
      <w:r w:rsidR="001A251D">
        <w:rPr>
          <w:snapToGrid w:val="0"/>
        </w:rPr>
        <w:t>:  Amended at 42 Ill. Reg. 24897</w:t>
      </w:r>
      <w:r>
        <w:rPr>
          <w:snapToGrid w:val="0"/>
        </w:rPr>
        <w:t xml:space="preserve">, effective </w:t>
      </w:r>
      <w:r w:rsidR="001A251D">
        <w:t>December 11, 2018</w:t>
      </w:r>
      <w:r>
        <w:rPr>
          <w:snapToGrid w:val="0"/>
        </w:rPr>
        <w:t>.)</w:t>
      </w:r>
    </w:p>
    <w:sectPr w:rsidR="000174EB" w:rsidRPr="007F1A99" w:rsidSect="006D4D72">
      <w:headerReference w:type="default" r:id="rId12"/>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27E" w:rsidRDefault="00CF327E">
      <w:r>
        <w:separator/>
      </w:r>
    </w:p>
  </w:endnote>
  <w:endnote w:type="continuationSeparator" w:id="0">
    <w:p w:rsidR="00CF327E" w:rsidRDefault="00CF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27E" w:rsidRDefault="00CF327E">
      <w:r>
        <w:separator/>
      </w:r>
    </w:p>
  </w:footnote>
  <w:footnote w:type="continuationSeparator" w:id="0">
    <w:p w:rsidR="00CF327E" w:rsidRDefault="00CF3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D72" w:rsidRDefault="006D4D72" w:rsidP="00BD7AA4">
    <w:pPr>
      <w:pStyle w:val="Header"/>
      <w:tabs>
        <w:tab w:val="clear" w:pos="8640"/>
        <w:tab w:val="left" w:pos="8655"/>
        <w:tab w:val="right" w:pos="9360"/>
      </w:tabs>
      <w:jc w:val="right"/>
      <w:rPr>
        <w:u w:val="single"/>
      </w:rPr>
    </w:pPr>
    <w:r w:rsidRPr="006D4D72">
      <w:rPr>
        <w:u w:val="single"/>
      </w:rPr>
      <w:t>EPA</w:t>
    </w:r>
    <w:r w:rsidRPr="006D4D72">
      <w:rPr>
        <w:u w:val="single"/>
      </w:rPr>
      <w:tab/>
      <w:t xml:space="preserve">35 </w:t>
    </w:r>
    <w:r w:rsidR="00FF3768">
      <w:rPr>
        <w:u w:val="single"/>
      </w:rPr>
      <w:t xml:space="preserve">ILLINOIS ADMINISTRATIVE CODE </w:t>
    </w:r>
    <w:r w:rsidR="004D1003">
      <w:rPr>
        <w:u w:val="single"/>
      </w:rPr>
      <w:t>190</w:t>
    </w:r>
    <w:r w:rsidRPr="006D4D72">
      <w:rPr>
        <w:u w:val="single"/>
      </w:rPr>
      <w:tab/>
    </w:r>
    <w:r w:rsidR="00365928">
      <w:rPr>
        <w:u w:val="single"/>
      </w:rPr>
      <w:tab/>
    </w:r>
  </w:p>
  <w:p w:rsidR="006D4D72" w:rsidRDefault="00FF3768" w:rsidP="006D4D72">
    <w:pPr>
      <w:pStyle w:val="Header"/>
      <w:tabs>
        <w:tab w:val="clear" w:pos="8640"/>
        <w:tab w:val="right" w:pos="9360"/>
      </w:tabs>
      <w:jc w:val="both"/>
    </w:pPr>
    <w:r>
      <w:tab/>
      <w:t xml:space="preserve">SUBTITLE </w:t>
    </w:r>
    <w:r w:rsidR="004D1003">
      <w:t>A</w:t>
    </w:r>
  </w:p>
  <w:p w:rsidR="006D4D72" w:rsidRPr="006D4D72" w:rsidRDefault="006D4D72" w:rsidP="006D4D72">
    <w:pPr>
      <w:pStyle w:val="Header"/>
      <w:tabs>
        <w:tab w:val="clear" w:pos="8640"/>
        <w:tab w:val="right" w:pos="9360"/>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7AF" w:rsidRDefault="00A177AF" w:rsidP="00A177AF">
    <w:pPr>
      <w:pStyle w:val="Header"/>
      <w:tabs>
        <w:tab w:val="clear" w:pos="8640"/>
        <w:tab w:val="right" w:pos="9360"/>
      </w:tabs>
      <w:jc w:val="both"/>
      <w:rPr>
        <w:u w:val="single"/>
      </w:rPr>
    </w:pPr>
    <w:r w:rsidRPr="006D4D72">
      <w:rPr>
        <w:u w:val="single"/>
      </w:rPr>
      <w:t>EPA</w:t>
    </w:r>
    <w:r w:rsidRPr="006D4D72">
      <w:rPr>
        <w:u w:val="single"/>
      </w:rPr>
      <w:tab/>
      <w:t xml:space="preserve">35 </w:t>
    </w:r>
    <w:r>
      <w:rPr>
        <w:u w:val="single"/>
      </w:rPr>
      <w:t>ILLINOIS ADMINISTRATIVE CODE 190</w:t>
    </w:r>
    <w:r w:rsidRPr="006D4D72">
      <w:rPr>
        <w:u w:val="single"/>
      </w:rPr>
      <w:tab/>
    </w:r>
    <w:r>
      <w:rPr>
        <w:u w:val="single"/>
      </w:rPr>
      <w:t>190.100</w:t>
    </w:r>
  </w:p>
  <w:p w:rsidR="00A177AF" w:rsidRDefault="00A177AF" w:rsidP="00A177AF">
    <w:pPr>
      <w:pStyle w:val="Header"/>
      <w:tabs>
        <w:tab w:val="clear" w:pos="8640"/>
        <w:tab w:val="right" w:pos="9360"/>
      </w:tabs>
      <w:jc w:val="both"/>
    </w:pPr>
    <w:r>
      <w:tab/>
      <w:t>SUBTITLE A</w:t>
    </w:r>
  </w:p>
  <w:p w:rsidR="005837C2" w:rsidRPr="006D4D72" w:rsidRDefault="005837C2" w:rsidP="006D4D72">
    <w:pPr>
      <w:pStyle w:val="Header"/>
      <w:tabs>
        <w:tab w:val="clear" w:pos="8640"/>
        <w:tab w:val="right" w:pos="9360"/>
      </w:tabs>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7AF" w:rsidRDefault="00A177AF" w:rsidP="00A177AF">
    <w:pPr>
      <w:pStyle w:val="Header"/>
      <w:tabs>
        <w:tab w:val="clear" w:pos="8640"/>
        <w:tab w:val="right" w:pos="9360"/>
      </w:tabs>
      <w:jc w:val="both"/>
      <w:rPr>
        <w:u w:val="single"/>
      </w:rPr>
    </w:pPr>
    <w:r w:rsidRPr="006D4D72">
      <w:rPr>
        <w:u w:val="single"/>
      </w:rPr>
      <w:t>EPA</w:t>
    </w:r>
    <w:r w:rsidRPr="006D4D72">
      <w:rPr>
        <w:u w:val="single"/>
      </w:rPr>
      <w:tab/>
      <w:t xml:space="preserve">35 </w:t>
    </w:r>
    <w:r>
      <w:rPr>
        <w:u w:val="single"/>
      </w:rPr>
      <w:t>ILLINOIS ADMINISTRATIVE CODE 190</w:t>
    </w:r>
    <w:r w:rsidRPr="006D4D72">
      <w:rPr>
        <w:u w:val="single"/>
      </w:rPr>
      <w:tab/>
    </w:r>
    <w:r>
      <w:rPr>
        <w:u w:val="single"/>
      </w:rPr>
      <w:t>190.110</w:t>
    </w:r>
  </w:p>
  <w:p w:rsidR="00A177AF" w:rsidRDefault="00A177AF" w:rsidP="00A177AF">
    <w:pPr>
      <w:pStyle w:val="Header"/>
      <w:tabs>
        <w:tab w:val="clear" w:pos="8640"/>
        <w:tab w:val="right" w:pos="9360"/>
      </w:tabs>
      <w:jc w:val="both"/>
    </w:pPr>
    <w:r>
      <w:tab/>
      <w:t>SUBTITLE A</w:t>
    </w:r>
  </w:p>
  <w:p w:rsidR="005837C2" w:rsidRPr="006D4D72" w:rsidRDefault="005837C2" w:rsidP="006D4D72">
    <w:pPr>
      <w:pStyle w:val="Header"/>
      <w:tabs>
        <w:tab w:val="clear" w:pos="8640"/>
        <w:tab w:val="right" w:pos="9360"/>
      </w:tabs>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50" w:rsidRDefault="009C6750" w:rsidP="006D4D72">
    <w:pPr>
      <w:pStyle w:val="Header"/>
      <w:tabs>
        <w:tab w:val="clear" w:pos="8640"/>
        <w:tab w:val="right" w:pos="9360"/>
      </w:tabs>
      <w:jc w:val="both"/>
      <w:rPr>
        <w:u w:val="single"/>
      </w:rPr>
    </w:pPr>
    <w:r w:rsidRPr="006D4D72">
      <w:rPr>
        <w:u w:val="single"/>
      </w:rPr>
      <w:t>EPA</w:t>
    </w:r>
    <w:r w:rsidRPr="006D4D72">
      <w:rPr>
        <w:u w:val="single"/>
      </w:rPr>
      <w:tab/>
      <w:t xml:space="preserve">35 </w:t>
    </w:r>
    <w:r w:rsidR="004D1003">
      <w:rPr>
        <w:u w:val="single"/>
      </w:rPr>
      <w:t>ILLINOIS ADMINISTRATIVE CODE 190</w:t>
    </w:r>
    <w:r w:rsidRPr="006D4D72">
      <w:rPr>
        <w:u w:val="single"/>
      </w:rPr>
      <w:tab/>
    </w:r>
    <w:bookmarkStart w:id="1" w:name="_Hlk534986684"/>
    <w:r w:rsidR="00BD7AA4">
      <w:rPr>
        <w:u w:val="single"/>
      </w:rPr>
      <w:t>190.120</w:t>
    </w:r>
    <w:bookmarkEnd w:id="1"/>
  </w:p>
  <w:p w:rsidR="009C6750" w:rsidRDefault="004D1003" w:rsidP="006D4D72">
    <w:pPr>
      <w:pStyle w:val="Header"/>
      <w:tabs>
        <w:tab w:val="clear" w:pos="8640"/>
        <w:tab w:val="right" w:pos="9360"/>
      </w:tabs>
      <w:jc w:val="both"/>
    </w:pPr>
    <w:r>
      <w:tab/>
      <w:t>SUBTITLE A</w:t>
    </w:r>
  </w:p>
  <w:p w:rsidR="009C6750" w:rsidRPr="006D4D72" w:rsidRDefault="009C6750" w:rsidP="006D4D72">
    <w:pPr>
      <w:pStyle w:val="Header"/>
      <w:tabs>
        <w:tab w:val="clear" w:pos="8640"/>
        <w:tab w:val="right" w:pos="9360"/>
      </w:tabs>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50" w:rsidRDefault="009C6750" w:rsidP="006D4D72">
    <w:pPr>
      <w:pStyle w:val="Header"/>
      <w:tabs>
        <w:tab w:val="clear" w:pos="8640"/>
        <w:tab w:val="right" w:pos="9360"/>
      </w:tabs>
      <w:jc w:val="both"/>
      <w:rPr>
        <w:u w:val="single"/>
      </w:rPr>
    </w:pPr>
    <w:r w:rsidRPr="006D4D72">
      <w:rPr>
        <w:u w:val="single"/>
      </w:rPr>
      <w:t>EPA</w:t>
    </w:r>
    <w:r w:rsidRPr="006D4D72">
      <w:rPr>
        <w:u w:val="single"/>
      </w:rPr>
      <w:tab/>
      <w:t xml:space="preserve">35 </w:t>
    </w:r>
    <w:r w:rsidR="004D1003">
      <w:rPr>
        <w:u w:val="single"/>
      </w:rPr>
      <w:t>ILLINOIS ADMINISTRATIVE CODE 190</w:t>
    </w:r>
    <w:r w:rsidRPr="006D4D72">
      <w:rPr>
        <w:u w:val="single"/>
      </w:rPr>
      <w:tab/>
    </w:r>
    <w:r w:rsidR="004D1003">
      <w:rPr>
        <w:u w:val="single"/>
      </w:rPr>
      <w:t>190.130</w:t>
    </w:r>
  </w:p>
  <w:p w:rsidR="009C6750" w:rsidRDefault="004D1003" w:rsidP="006D4D72">
    <w:pPr>
      <w:pStyle w:val="Header"/>
      <w:tabs>
        <w:tab w:val="clear" w:pos="8640"/>
        <w:tab w:val="right" w:pos="9360"/>
      </w:tabs>
      <w:jc w:val="both"/>
    </w:pPr>
    <w:r>
      <w:tab/>
      <w:t>SUBTITLE A</w:t>
    </w:r>
  </w:p>
  <w:p w:rsidR="009C6750" w:rsidRPr="006D4D72" w:rsidRDefault="009C6750" w:rsidP="006D4D72">
    <w:pPr>
      <w:pStyle w:val="Header"/>
      <w:tabs>
        <w:tab w:val="clear" w:pos="8640"/>
        <w:tab w:val="right" w:pos="9360"/>
      </w:tabs>
      <w:jc w:val="bot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50" w:rsidRDefault="009C6750" w:rsidP="006D4D72">
    <w:pPr>
      <w:pStyle w:val="Header"/>
      <w:tabs>
        <w:tab w:val="clear" w:pos="8640"/>
        <w:tab w:val="right" w:pos="9360"/>
      </w:tabs>
      <w:jc w:val="both"/>
      <w:rPr>
        <w:u w:val="single"/>
      </w:rPr>
    </w:pPr>
    <w:r w:rsidRPr="006D4D72">
      <w:rPr>
        <w:u w:val="single"/>
      </w:rPr>
      <w:t>EPA</w:t>
    </w:r>
    <w:r w:rsidRPr="006D4D72">
      <w:rPr>
        <w:u w:val="single"/>
      </w:rPr>
      <w:tab/>
      <w:t xml:space="preserve">35 </w:t>
    </w:r>
    <w:r w:rsidR="00C7698C">
      <w:rPr>
        <w:u w:val="single"/>
      </w:rPr>
      <w:t>ILLINOIS ADMINISTRATIVE CODE 190</w:t>
    </w:r>
    <w:r w:rsidRPr="006D4D72">
      <w:rPr>
        <w:u w:val="single"/>
      </w:rPr>
      <w:tab/>
    </w:r>
    <w:r w:rsidR="00C7698C">
      <w:rPr>
        <w:u w:val="single"/>
      </w:rPr>
      <w:t>190.135</w:t>
    </w:r>
  </w:p>
  <w:p w:rsidR="009C6750" w:rsidRDefault="00C7698C" w:rsidP="006D4D72">
    <w:pPr>
      <w:pStyle w:val="Header"/>
      <w:tabs>
        <w:tab w:val="clear" w:pos="8640"/>
        <w:tab w:val="right" w:pos="9360"/>
      </w:tabs>
      <w:jc w:val="both"/>
    </w:pPr>
    <w:r>
      <w:tab/>
      <w:t>SUBTITLE A</w:t>
    </w:r>
  </w:p>
  <w:p w:rsidR="009C6750" w:rsidRPr="006D4D72" w:rsidRDefault="009C6750" w:rsidP="006D4D72">
    <w:pPr>
      <w:pStyle w:val="Header"/>
      <w:tabs>
        <w:tab w:val="clear" w:pos="8640"/>
        <w:tab w:val="right" w:pos="9360"/>
      </w:tabs>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750" w:rsidRDefault="009C6750" w:rsidP="006D4D72">
    <w:pPr>
      <w:pStyle w:val="Header"/>
      <w:tabs>
        <w:tab w:val="clear" w:pos="8640"/>
        <w:tab w:val="right" w:pos="9360"/>
      </w:tabs>
      <w:jc w:val="both"/>
      <w:rPr>
        <w:u w:val="single"/>
      </w:rPr>
    </w:pPr>
    <w:r w:rsidRPr="006D4D72">
      <w:rPr>
        <w:u w:val="single"/>
      </w:rPr>
      <w:t>EPA</w:t>
    </w:r>
    <w:r w:rsidRPr="006D4D72">
      <w:rPr>
        <w:u w:val="single"/>
      </w:rPr>
      <w:tab/>
      <w:t xml:space="preserve">35 </w:t>
    </w:r>
    <w:r w:rsidR="00C7698C">
      <w:rPr>
        <w:u w:val="single"/>
      </w:rPr>
      <w:t>ILLINOIS ADMINISTRATIVE CODE 190</w:t>
    </w:r>
    <w:r w:rsidRPr="006D4D72">
      <w:rPr>
        <w:u w:val="single"/>
      </w:rPr>
      <w:tab/>
    </w:r>
    <w:r w:rsidR="00C7698C">
      <w:rPr>
        <w:u w:val="single"/>
      </w:rPr>
      <w:t>190.140</w:t>
    </w:r>
  </w:p>
  <w:p w:rsidR="009C6750" w:rsidRDefault="00C7698C" w:rsidP="006D4D72">
    <w:pPr>
      <w:pStyle w:val="Header"/>
      <w:tabs>
        <w:tab w:val="clear" w:pos="8640"/>
        <w:tab w:val="right" w:pos="9360"/>
      </w:tabs>
      <w:jc w:val="both"/>
    </w:pPr>
    <w:r>
      <w:tab/>
      <w:t>SUBTITLE A</w:t>
    </w:r>
  </w:p>
  <w:p w:rsidR="009C6750" w:rsidRPr="006D4D72" w:rsidRDefault="009C6750" w:rsidP="006D4D72">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D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07C6"/>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6E"/>
    <w:rsid w:val="000D62B6"/>
    <w:rsid w:val="000D7A04"/>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1E1A"/>
    <w:rsid w:val="00174FFD"/>
    <w:rsid w:val="00182038"/>
    <w:rsid w:val="001830D0"/>
    <w:rsid w:val="00184B52"/>
    <w:rsid w:val="001915E7"/>
    <w:rsid w:val="00193ABB"/>
    <w:rsid w:val="0019502A"/>
    <w:rsid w:val="001A251D"/>
    <w:rsid w:val="001A6EDB"/>
    <w:rsid w:val="001B5F27"/>
    <w:rsid w:val="001C1D61"/>
    <w:rsid w:val="001C71C2"/>
    <w:rsid w:val="001C7D95"/>
    <w:rsid w:val="001D0EBA"/>
    <w:rsid w:val="001D0EFC"/>
    <w:rsid w:val="001D74D7"/>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5515"/>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928"/>
    <w:rsid w:val="00365FFF"/>
    <w:rsid w:val="00367A2E"/>
    <w:rsid w:val="00374367"/>
    <w:rsid w:val="00374639"/>
    <w:rsid w:val="00375C58"/>
    <w:rsid w:val="003760AD"/>
    <w:rsid w:val="00383A68"/>
    <w:rsid w:val="00385640"/>
    <w:rsid w:val="0039357E"/>
    <w:rsid w:val="00393652"/>
    <w:rsid w:val="00394002"/>
    <w:rsid w:val="003946C4"/>
    <w:rsid w:val="0039695D"/>
    <w:rsid w:val="003A431C"/>
    <w:rsid w:val="003A4E0A"/>
    <w:rsid w:val="003A6E65"/>
    <w:rsid w:val="003B419A"/>
    <w:rsid w:val="003B5138"/>
    <w:rsid w:val="003B5439"/>
    <w:rsid w:val="003B78C5"/>
    <w:rsid w:val="003C07D2"/>
    <w:rsid w:val="003D0D44"/>
    <w:rsid w:val="003D12E4"/>
    <w:rsid w:val="003D4D4A"/>
    <w:rsid w:val="003F0EC8"/>
    <w:rsid w:val="003F2136"/>
    <w:rsid w:val="003F24E6"/>
    <w:rsid w:val="003F3A28"/>
    <w:rsid w:val="003F5FD7"/>
    <w:rsid w:val="003F60AF"/>
    <w:rsid w:val="004014FB"/>
    <w:rsid w:val="004036FE"/>
    <w:rsid w:val="00404222"/>
    <w:rsid w:val="0040431F"/>
    <w:rsid w:val="00420E63"/>
    <w:rsid w:val="004218A0"/>
    <w:rsid w:val="00425923"/>
    <w:rsid w:val="00426A13"/>
    <w:rsid w:val="00431CFE"/>
    <w:rsid w:val="004326E0"/>
    <w:rsid w:val="004378C7"/>
    <w:rsid w:val="00440321"/>
    <w:rsid w:val="00441A81"/>
    <w:rsid w:val="004448CB"/>
    <w:rsid w:val="004454F6"/>
    <w:rsid w:val="004513A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D60"/>
    <w:rsid w:val="004925CE"/>
    <w:rsid w:val="00493C66"/>
    <w:rsid w:val="0049486A"/>
    <w:rsid w:val="004A2DF2"/>
    <w:rsid w:val="004A631A"/>
    <w:rsid w:val="004B0153"/>
    <w:rsid w:val="004B41BC"/>
    <w:rsid w:val="004B6FF4"/>
    <w:rsid w:val="004C445A"/>
    <w:rsid w:val="004D1003"/>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458"/>
    <w:rsid w:val="00573770"/>
    <w:rsid w:val="005755DB"/>
    <w:rsid w:val="00576975"/>
    <w:rsid w:val="005777E6"/>
    <w:rsid w:val="005828DA"/>
    <w:rsid w:val="005837C2"/>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53D9"/>
    <w:rsid w:val="0064660E"/>
    <w:rsid w:val="00647E1C"/>
    <w:rsid w:val="00651FF5"/>
    <w:rsid w:val="00666006"/>
    <w:rsid w:val="00670B89"/>
    <w:rsid w:val="00672EE7"/>
    <w:rsid w:val="00673BD7"/>
    <w:rsid w:val="00682382"/>
    <w:rsid w:val="00683161"/>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D72"/>
    <w:rsid w:val="006E00BF"/>
    <w:rsid w:val="006E1AE0"/>
    <w:rsid w:val="006E1F95"/>
    <w:rsid w:val="006E6D53"/>
    <w:rsid w:val="006F36BD"/>
    <w:rsid w:val="006F7BF8"/>
    <w:rsid w:val="00700FB4"/>
    <w:rsid w:val="00702A38"/>
    <w:rsid w:val="0070602C"/>
    <w:rsid w:val="00706857"/>
    <w:rsid w:val="00715EB8"/>
    <w:rsid w:val="00717DBE"/>
    <w:rsid w:val="00720025"/>
    <w:rsid w:val="007232AE"/>
    <w:rsid w:val="007268A0"/>
    <w:rsid w:val="00727763"/>
    <w:rsid w:val="007278C5"/>
    <w:rsid w:val="00732DC8"/>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80A"/>
    <w:rsid w:val="007D0B2D"/>
    <w:rsid w:val="007E0613"/>
    <w:rsid w:val="007E5206"/>
    <w:rsid w:val="007F1A7F"/>
    <w:rsid w:val="007F1A99"/>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34A"/>
    <w:rsid w:val="00886FB6"/>
    <w:rsid w:val="008923A8"/>
    <w:rsid w:val="00897EA5"/>
    <w:rsid w:val="008A2DB4"/>
    <w:rsid w:val="008A3114"/>
    <w:rsid w:val="008B5152"/>
    <w:rsid w:val="008B56EA"/>
    <w:rsid w:val="008B77D8"/>
    <w:rsid w:val="008C1560"/>
    <w:rsid w:val="008C4FAF"/>
    <w:rsid w:val="008C5359"/>
    <w:rsid w:val="008D06A1"/>
    <w:rsid w:val="008D7182"/>
    <w:rsid w:val="008E41C9"/>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0473"/>
    <w:rsid w:val="0098276C"/>
    <w:rsid w:val="00983C53"/>
    <w:rsid w:val="00986F7E"/>
    <w:rsid w:val="00994782"/>
    <w:rsid w:val="009A26DA"/>
    <w:rsid w:val="009B45F6"/>
    <w:rsid w:val="009B6ECA"/>
    <w:rsid w:val="009B72DC"/>
    <w:rsid w:val="009C1181"/>
    <w:rsid w:val="009C1A93"/>
    <w:rsid w:val="009C2829"/>
    <w:rsid w:val="009C46AF"/>
    <w:rsid w:val="009C5170"/>
    <w:rsid w:val="009C675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7AF"/>
    <w:rsid w:val="00A1799D"/>
    <w:rsid w:val="00A20501"/>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17FF"/>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AA4"/>
    <w:rsid w:val="00BE03CA"/>
    <w:rsid w:val="00BE1AD0"/>
    <w:rsid w:val="00BE40A3"/>
    <w:rsid w:val="00BF2353"/>
    <w:rsid w:val="00BF25C2"/>
    <w:rsid w:val="00BF3913"/>
    <w:rsid w:val="00BF5AAE"/>
    <w:rsid w:val="00BF5AE7"/>
    <w:rsid w:val="00BF78FB"/>
    <w:rsid w:val="00C0597E"/>
    <w:rsid w:val="00C05E6D"/>
    <w:rsid w:val="00C06151"/>
    <w:rsid w:val="00C06DF4"/>
    <w:rsid w:val="00C1038A"/>
    <w:rsid w:val="00C10620"/>
    <w:rsid w:val="00C11BB7"/>
    <w:rsid w:val="00C153C4"/>
    <w:rsid w:val="00C15FD6"/>
    <w:rsid w:val="00C17F24"/>
    <w:rsid w:val="00C2596B"/>
    <w:rsid w:val="00C319B3"/>
    <w:rsid w:val="00C42A93"/>
    <w:rsid w:val="00C4537A"/>
    <w:rsid w:val="00C45BEB"/>
    <w:rsid w:val="00C470EE"/>
    <w:rsid w:val="00C50195"/>
    <w:rsid w:val="00C536D3"/>
    <w:rsid w:val="00C60D0B"/>
    <w:rsid w:val="00C67B51"/>
    <w:rsid w:val="00C72A95"/>
    <w:rsid w:val="00C72C0C"/>
    <w:rsid w:val="00C73CD4"/>
    <w:rsid w:val="00C748F6"/>
    <w:rsid w:val="00C7698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327E"/>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2CE9"/>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4A5C"/>
    <w:rsid w:val="00F9393D"/>
    <w:rsid w:val="00F942E4"/>
    <w:rsid w:val="00F942E7"/>
    <w:rsid w:val="00F953D5"/>
    <w:rsid w:val="00F96704"/>
    <w:rsid w:val="00F97D67"/>
    <w:rsid w:val="00FA186E"/>
    <w:rsid w:val="00FA19DB"/>
    <w:rsid w:val="00FB1274"/>
    <w:rsid w:val="00FB40D6"/>
    <w:rsid w:val="00FB6CE4"/>
    <w:rsid w:val="00FC18E5"/>
    <w:rsid w:val="00FC2BF7"/>
    <w:rsid w:val="00FC3252"/>
    <w:rsid w:val="00FC34CE"/>
    <w:rsid w:val="00FC7A26"/>
    <w:rsid w:val="00FD25DA"/>
    <w:rsid w:val="00FD38AB"/>
    <w:rsid w:val="00FD7B30"/>
    <w:rsid w:val="00FE33D0"/>
    <w:rsid w:val="00FF3768"/>
    <w:rsid w:val="00FF402E"/>
    <w:rsid w:val="00FF5C46"/>
    <w:rsid w:val="00FF6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2B889E2-8378-4F4F-9CF2-605AAA0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FootnoteText">
    <w:name w:val="footnote text"/>
    <w:basedOn w:val="Normal"/>
    <w:link w:val="FootnoteTextChar"/>
    <w:rsid w:val="007F1A99"/>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7F1A99"/>
  </w:style>
  <w:style w:type="paragraph" w:customStyle="1" w:styleId="Default">
    <w:name w:val="Default"/>
    <w:rsid w:val="007F1A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1359</Words>
  <Characters>7986</Characters>
  <Application>Microsoft Office Word</Application>
  <DocSecurity>4</DocSecurity>
  <Lines>332</Lines>
  <Paragraphs>259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Brown, Don</cp:lastModifiedBy>
  <cp:revision>2</cp:revision>
  <dcterms:created xsi:type="dcterms:W3CDTF">2019-01-14T15:55:00Z</dcterms:created>
  <dcterms:modified xsi:type="dcterms:W3CDTF">2019-01-14T15:55:00Z</dcterms:modified>
</cp:coreProperties>
</file>